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5028565</wp:posOffset>
            </wp:positionH>
            <wp:positionV relativeFrom="paragraph">
              <wp:posOffset>46990</wp:posOffset>
            </wp:positionV>
            <wp:extent cx="723900" cy="634365"/>
            <wp:effectExtent b="0" l="0" r="0" t="0"/>
            <wp:wrapNone/>
            <wp:docPr descr="logo-v1" id="3"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723900" cy="63436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IES Josefina Aldecoa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rPr/>
      </w:pPr>
      <w:bookmarkStart w:colFirst="0" w:colLast="0" w:name="_heading=h.41gkv25mhw0e" w:id="0"/>
      <w:bookmarkEnd w:id="0"/>
      <w:r w:rsidDel="00000000" w:rsidR="00000000" w:rsidRPr="00000000">
        <w:rPr>
          <w:rtl w:val="0"/>
        </w:rPr>
        <w:t xml:space="preserve">Informativo-Programación</w:t>
      </w:r>
    </w:p>
    <w:p w:rsidR="00000000" w:rsidDel="00000000" w:rsidP="00000000" w:rsidRDefault="00000000" w:rsidRPr="00000000" w14:paraId="00000006">
      <w:pPr>
        <w:pStyle w:val="Title"/>
        <w:rPr/>
      </w:pPr>
      <w:bookmarkStart w:colFirst="0" w:colLast="0" w:name="_heading=h.69ockrm8wec" w:id="1"/>
      <w:bookmarkEnd w:id="1"/>
      <w:r w:rsidDel="00000000" w:rsidR="00000000" w:rsidRPr="00000000">
        <w:rPr>
          <w:rtl w:val="0"/>
        </w:rPr>
      </w:r>
    </w:p>
    <w:p w:rsidR="00000000" w:rsidDel="00000000" w:rsidP="00000000" w:rsidRDefault="00000000" w:rsidRPr="00000000" w14:paraId="00000007">
      <w:pPr>
        <w:pStyle w:val="Title"/>
        <w:rPr>
          <w:sz w:val="42"/>
          <w:szCs w:val="42"/>
        </w:rPr>
      </w:pPr>
      <w:bookmarkStart w:colFirst="0" w:colLast="0" w:name="_heading=h.y6urr9p7mtz8" w:id="2"/>
      <w:bookmarkEnd w:id="2"/>
      <w:r w:rsidDel="00000000" w:rsidR="00000000" w:rsidRPr="00000000">
        <w:rPr>
          <w:sz w:val="42"/>
          <w:szCs w:val="42"/>
          <w:rtl w:val="0"/>
        </w:rPr>
        <w:t xml:space="preserve">MATERIA / ÁREA / MÓDULO: Educación en Valores Cívicos y Éticos 2º ESO</w:t>
      </w:r>
    </w:p>
    <w:p w:rsidR="00000000" w:rsidDel="00000000" w:rsidP="00000000" w:rsidRDefault="00000000" w:rsidRPr="00000000" w14:paraId="00000008">
      <w:pPr>
        <w:pStyle w:val="Title"/>
        <w:rPr>
          <w:sz w:val="42"/>
          <w:szCs w:val="42"/>
        </w:rPr>
      </w:pPr>
      <w:r w:rsidDel="00000000" w:rsidR="00000000" w:rsidRPr="00000000">
        <w:rPr>
          <w:sz w:val="42"/>
          <w:szCs w:val="42"/>
          <w:rtl w:val="0"/>
        </w:rPr>
        <w:t xml:space="preserve">DEPARTAMENTO: FILOSOFÍA</w:t>
      </w:r>
    </w:p>
    <w:p w:rsidR="00000000" w:rsidDel="00000000" w:rsidP="00000000" w:rsidRDefault="00000000" w:rsidRPr="00000000" w14:paraId="00000009">
      <w:pPr>
        <w:pStyle w:val="Title"/>
        <w:rPr>
          <w:sz w:val="42"/>
          <w:szCs w:val="42"/>
        </w:rPr>
      </w:pPr>
      <w:bookmarkStart w:colFirst="0" w:colLast="0" w:name="_heading=h.j56parbiwguq" w:id="3"/>
      <w:bookmarkEnd w:id="3"/>
      <w:r w:rsidDel="00000000" w:rsidR="00000000" w:rsidRPr="00000000">
        <w:rPr>
          <w:sz w:val="42"/>
          <w:szCs w:val="42"/>
          <w:rtl w:val="0"/>
        </w:rPr>
        <w:t xml:space="preserve">Fecha última actualización: Octubre-2025</w:t>
      </w:r>
    </w:p>
    <w:p w:rsidR="00000000" w:rsidDel="00000000" w:rsidP="00000000" w:rsidRDefault="00000000" w:rsidRPr="00000000" w14:paraId="0000000A">
      <w:pPr>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after="200" w:before="0" w:lineRule="auto"/>
        <w:rPr/>
      </w:pPr>
      <w:r w:rsidDel="00000000" w:rsidR="00000000" w:rsidRPr="00000000">
        <w:rPr>
          <w:rtl w:val="0"/>
        </w:rPr>
        <w:t xml:space="preserve">ÍNDICE</w:t>
      </w:r>
    </w:p>
    <w:p w:rsidR="00000000" w:rsidDel="00000000" w:rsidP="00000000" w:rsidRDefault="00000000" w:rsidRPr="00000000" w14:paraId="0000000C">
      <w:pPr>
        <w:rPr/>
      </w:pPr>
      <w:r w:rsidDel="00000000" w:rsidR="00000000" w:rsidRPr="00000000">
        <w:rPr>
          <w:rtl w:val="0"/>
        </w:rPr>
      </w:r>
    </w:p>
    <w:sdt>
      <w:sdtPr>
        <w:id w:val="-1299963171"/>
        <w:docPartObj>
          <w:docPartGallery w:val="Table of Contents"/>
          <w:docPartUnique w:val="1"/>
        </w:docPartObj>
      </w:sdtPr>
      <w:sdtContent>
        <w:p w:rsidR="00000000" w:rsidDel="00000000" w:rsidP="00000000" w:rsidRDefault="00000000" w:rsidRPr="00000000" w14:paraId="0000000D">
          <w:pPr>
            <w:widowControl w:val="0"/>
            <w:tabs>
              <w:tab w:val="right" w:leader="none" w:pos="12000"/>
            </w:tabs>
            <w:spacing w:after="0" w:before="60" w:line="240" w:lineRule="auto"/>
            <w:ind w:right="0"/>
            <w:rPr>
              <w:rFonts w:ascii="Arial" w:cs="Arial" w:eastAsia="Arial" w:hAnsi="Arial"/>
              <w:b w:val="1"/>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heading=h.ciiwisx14rfl">
            <w:r w:rsidDel="00000000" w:rsidR="00000000" w:rsidRPr="00000000">
              <w:rPr>
                <w:rFonts w:ascii="Arial" w:cs="Arial" w:eastAsia="Arial" w:hAnsi="Arial"/>
                <w:b w:val="1"/>
                <w:color w:val="000000"/>
                <w:sz w:val="22"/>
                <w:szCs w:val="22"/>
                <w:rtl w:val="0"/>
              </w:rPr>
              <w:t xml:space="preserve">1. Contenidos exigibles mínimos para una evaluación positiva de la materia, área o módulo</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right="0"/>
            <w:rPr>
              <w:rFonts w:ascii="Arial" w:cs="Arial" w:eastAsia="Arial" w:hAnsi="Arial"/>
              <w:b w:val="1"/>
              <w:color w:val="000000"/>
              <w:sz w:val="22"/>
              <w:szCs w:val="22"/>
            </w:rPr>
          </w:pPr>
          <w:hyperlink w:anchor="_heading=h.30j0zll">
            <w:r w:rsidDel="00000000" w:rsidR="00000000" w:rsidRPr="00000000">
              <w:rPr>
                <w:rFonts w:ascii="Libre Franklin" w:cs="Libre Franklin" w:eastAsia="Libre Franklin" w:hAnsi="Libre Franklin"/>
                <w:b w:val="1"/>
                <w:color w:val="000000"/>
                <w:sz w:val="22"/>
                <w:szCs w:val="22"/>
                <w:rtl w:val="0"/>
              </w:rPr>
              <w:t xml:space="preserve">2. Procedimientos e instrumentos de evaluación, junto con los criterios de calificación aplicables</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720" w:right="0" w:firstLine="0"/>
            <w:rPr>
              <w:rFonts w:ascii="Arial" w:cs="Arial" w:eastAsia="Arial" w:hAnsi="Arial"/>
              <w:color w:val="000000"/>
              <w:sz w:val="22"/>
              <w:szCs w:val="22"/>
            </w:rPr>
          </w:pPr>
          <w:hyperlink w:anchor="_heading=h.pbmokq8xdve9">
            <w:r w:rsidDel="00000000" w:rsidR="00000000" w:rsidRPr="00000000">
              <w:rPr>
                <w:rFonts w:ascii="Arial" w:cs="Arial" w:eastAsia="Arial" w:hAnsi="Arial"/>
                <w:color w:val="000000"/>
                <w:sz w:val="22"/>
                <w:szCs w:val="22"/>
                <w:rtl w:val="0"/>
              </w:rPr>
              <w:t xml:space="preserve">Evaluación ordinaria</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720" w:right="0" w:firstLine="0"/>
            <w:rPr>
              <w:rFonts w:ascii="Arial" w:cs="Arial" w:eastAsia="Arial" w:hAnsi="Arial"/>
              <w:color w:val="000000"/>
              <w:sz w:val="22"/>
              <w:szCs w:val="22"/>
            </w:rPr>
          </w:pPr>
          <w:hyperlink w:anchor="_heading=h.lnxbz9">
            <w:r w:rsidDel="00000000" w:rsidR="00000000" w:rsidRPr="00000000">
              <w:rPr>
                <w:rFonts w:ascii="Arial" w:cs="Arial" w:eastAsia="Arial" w:hAnsi="Arial"/>
                <w:color w:val="000000"/>
                <w:sz w:val="22"/>
                <w:szCs w:val="22"/>
                <w:rtl w:val="0"/>
              </w:rPr>
              <w:t xml:space="preserve">Procedimiento de evaluación para los alumnos que han suspendido una o varias evaluaciones</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720" w:right="0" w:firstLine="0"/>
            <w:rPr>
              <w:rFonts w:ascii="Arial" w:cs="Arial" w:eastAsia="Arial" w:hAnsi="Arial"/>
              <w:color w:val="000000"/>
              <w:sz w:val="22"/>
              <w:szCs w:val="22"/>
            </w:rPr>
          </w:pPr>
          <w:hyperlink w:anchor="_heading=h.nvly6f6lcnfc">
            <w:r w:rsidDel="00000000" w:rsidR="00000000" w:rsidRPr="00000000">
              <w:rPr>
                <w:rFonts w:ascii="Arial" w:cs="Arial" w:eastAsia="Arial" w:hAnsi="Arial"/>
                <w:color w:val="000000"/>
                <w:sz w:val="22"/>
                <w:szCs w:val="22"/>
                <w:rtl w:val="0"/>
              </w:rPr>
              <w:t xml:space="preserve">Procedimiento y actividades de recuperación para los alumnos con materias pendientes de cursos anteriores</w:t>
              <w:tab/>
              <w:t xml:space="preserve">4</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720" w:right="0" w:firstLine="0"/>
            <w:rPr>
              <w:rFonts w:ascii="Arial" w:cs="Arial" w:eastAsia="Arial" w:hAnsi="Arial"/>
              <w:color w:val="000000"/>
              <w:sz w:val="22"/>
              <w:szCs w:val="22"/>
            </w:rPr>
          </w:pPr>
          <w:hyperlink w:anchor="_heading=h.44cv8aiyswot">
            <w:r w:rsidDel="00000000" w:rsidR="00000000" w:rsidRPr="00000000">
              <w:rPr>
                <w:rFonts w:ascii="Arial" w:cs="Arial" w:eastAsia="Arial" w:hAnsi="Arial"/>
                <w:color w:val="000000"/>
                <w:sz w:val="22"/>
                <w:szCs w:val="22"/>
                <w:rtl w:val="0"/>
              </w:rPr>
              <w:t xml:space="preserve">Medidas de apoyo y/o refuerzo educativo a lo largo del curso académico</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720" w:right="0" w:firstLine="0"/>
            <w:rPr>
              <w:rFonts w:ascii="Arial" w:cs="Arial" w:eastAsia="Arial" w:hAnsi="Arial"/>
              <w:color w:val="000000"/>
              <w:sz w:val="22"/>
              <w:szCs w:val="22"/>
            </w:rPr>
          </w:pPr>
          <w:hyperlink w:anchor="_heading=h.44sinio">
            <w:r w:rsidDel="00000000" w:rsidR="00000000" w:rsidRPr="00000000">
              <w:rPr>
                <w:rFonts w:ascii="Arial" w:cs="Arial" w:eastAsia="Arial" w:hAnsi="Arial"/>
                <w:color w:val="000000"/>
                <w:sz w:val="22"/>
                <w:szCs w:val="22"/>
                <w:rtl w:val="0"/>
              </w:rPr>
              <w:t xml:space="preserve">Alumnado al que se desaplica la evaluación continua</w:t>
              <w:tab/>
              <w:t xml:space="preserve">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pStyle w:val="Heading1"/>
        <w:numPr>
          <w:ilvl w:val="0"/>
          <w:numId w:val="4"/>
        </w:numPr>
        <w:ind w:left="720" w:right="140" w:hanging="360"/>
        <w:rPr>
          <w:sz w:val="36"/>
          <w:szCs w:val="36"/>
        </w:rPr>
      </w:pPr>
      <w:bookmarkStart w:colFirst="0" w:colLast="0" w:name="_heading=h.ciiwisx14rfl" w:id="4"/>
      <w:bookmarkEnd w:id="4"/>
      <w:r w:rsidDel="00000000" w:rsidR="00000000" w:rsidRPr="00000000">
        <w:rPr>
          <w:sz w:val="36"/>
          <w:szCs w:val="36"/>
          <w:rtl w:val="0"/>
        </w:rPr>
        <w:t xml:space="preserve">Contenidos exigibles mínimos para una evaluación positiva de la materia, área o módulo</w:t>
      </w:r>
    </w:p>
    <w:p w:rsidR="00000000" w:rsidDel="00000000" w:rsidP="00000000" w:rsidRDefault="00000000" w:rsidRPr="00000000" w14:paraId="00000016">
      <w:pPr>
        <w:spacing w:after="0" w:before="0" w:lineRule="auto"/>
        <w:rPr/>
      </w:pPr>
      <w:r w:rsidDel="00000000" w:rsidR="00000000" w:rsidRPr="00000000">
        <w:rPr>
          <w:rtl w:val="0"/>
        </w:rPr>
        <w:t xml:space="preserve">Bloque A. Autoconocimiento y autonomía moral.</w:t>
      </w:r>
    </w:p>
    <w:p w:rsidR="00000000" w:rsidDel="00000000" w:rsidP="00000000" w:rsidRDefault="00000000" w:rsidRPr="00000000" w14:paraId="00000017">
      <w:pPr>
        <w:spacing w:after="0" w:before="0" w:lineRule="auto"/>
        <w:rPr/>
      </w:pPr>
      <w:r w:rsidDel="00000000" w:rsidR="00000000" w:rsidRPr="00000000">
        <w:rPr>
          <w:rtl w:val="0"/>
        </w:rPr>
        <w:t xml:space="preserve">– La naturaleza humana y la identidad personal. Dignidad, libertad y moralidad.</w:t>
      </w:r>
    </w:p>
    <w:p w:rsidR="00000000" w:rsidDel="00000000" w:rsidP="00000000" w:rsidRDefault="00000000" w:rsidRPr="00000000" w14:paraId="00000018">
      <w:pPr>
        <w:spacing w:after="0" w:before="0" w:lineRule="auto"/>
        <w:rPr/>
      </w:pPr>
      <w:r w:rsidDel="00000000" w:rsidR="00000000" w:rsidRPr="00000000">
        <w:rPr>
          <w:rtl w:val="0"/>
        </w:rPr>
        <w:t xml:space="preserve">– La educación de las emociones y los sentimientos. La autoestima personal. La igualdad y el respeto mutuo en las relaciones con otras personas.</w:t>
      </w:r>
    </w:p>
    <w:p w:rsidR="00000000" w:rsidDel="00000000" w:rsidP="00000000" w:rsidRDefault="00000000" w:rsidRPr="00000000" w14:paraId="00000019">
      <w:pPr>
        <w:spacing w:after="0" w:before="0" w:lineRule="auto"/>
        <w:rPr/>
      </w:pPr>
      <w:r w:rsidDel="00000000" w:rsidR="00000000" w:rsidRPr="00000000">
        <w:rPr>
          <w:rtl w:val="0"/>
        </w:rPr>
        <w:t xml:space="preserve">– La educación afectivo-sexual.</w:t>
      </w:r>
    </w:p>
    <w:p w:rsidR="00000000" w:rsidDel="00000000" w:rsidP="00000000" w:rsidRDefault="00000000" w:rsidRPr="00000000" w14:paraId="0000001A">
      <w:pPr>
        <w:spacing w:after="0" w:before="0" w:lineRule="auto"/>
        <w:rPr/>
      </w:pPr>
      <w:r w:rsidDel="00000000" w:rsidR="00000000" w:rsidRPr="00000000">
        <w:rPr>
          <w:rtl w:val="0"/>
        </w:rPr>
        <w:t xml:space="preserve">– El conflicto entre legitimidad y legalidad. La objeción de conciencia. Los derechos individuales y el debate en torno a la libertad de expresión.</w:t>
      </w:r>
    </w:p>
    <w:p w:rsidR="00000000" w:rsidDel="00000000" w:rsidP="00000000" w:rsidRDefault="00000000" w:rsidRPr="00000000" w14:paraId="0000001B">
      <w:pPr>
        <w:spacing w:after="0" w:before="0" w:lineRule="auto"/>
        <w:rPr/>
      </w:pPr>
      <w:r w:rsidDel="00000000" w:rsidR="00000000" w:rsidRPr="00000000">
        <w:rPr>
          <w:rtl w:val="0"/>
        </w:rPr>
        <w:t xml:space="preserve">– El problema de la desinformación. La protección de datos y el derecho a la intimidad. El ciberacoso y las situaciones de violencia en las redes.</w:t>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pacing w:after="0" w:before="0" w:lineRule="auto"/>
        <w:rPr/>
      </w:pPr>
      <w:r w:rsidDel="00000000" w:rsidR="00000000" w:rsidRPr="00000000">
        <w:rPr>
          <w:rtl w:val="0"/>
        </w:rPr>
        <w:t xml:space="preserve">Bloque B. Sociedad, justicia y democracia.</w:t>
      </w:r>
    </w:p>
    <w:p w:rsidR="00000000" w:rsidDel="00000000" w:rsidP="00000000" w:rsidRDefault="00000000" w:rsidRPr="00000000" w14:paraId="0000001E">
      <w:pPr>
        <w:spacing w:after="0" w:before="0" w:lineRule="auto"/>
        <w:rPr/>
      </w:pPr>
      <w:r w:rsidDel="00000000" w:rsidR="00000000" w:rsidRPr="00000000">
        <w:rPr>
          <w:rtl w:val="0"/>
        </w:rPr>
        <w:t xml:space="preserve">– La naturaleza y origen de la sociedad: competencia y cooperación, egoísmo y altruismo. Las estructuras sociales y los grupos de pertenencia.</w:t>
      </w:r>
    </w:p>
    <w:p w:rsidR="00000000" w:rsidDel="00000000" w:rsidP="00000000" w:rsidRDefault="00000000" w:rsidRPr="00000000" w14:paraId="0000001F">
      <w:pPr>
        <w:spacing w:after="0" w:before="0" w:lineRule="auto"/>
        <w:rPr/>
      </w:pPr>
      <w:r w:rsidDel="00000000" w:rsidR="00000000" w:rsidRPr="00000000">
        <w:rPr>
          <w:rtl w:val="0"/>
        </w:rPr>
        <w:t xml:space="preserve">– Las distintas generaciones de derechos humanos. Su constitución histórica y relevancia ética. Los derechos de la infancia.</w:t>
      </w:r>
    </w:p>
    <w:p w:rsidR="00000000" w:rsidDel="00000000" w:rsidP="00000000" w:rsidRDefault="00000000" w:rsidRPr="00000000" w14:paraId="00000020">
      <w:pPr>
        <w:spacing w:after="0" w:before="0" w:lineRule="auto"/>
        <w:rPr/>
      </w:pPr>
      <w:r w:rsidDel="00000000" w:rsidR="00000000" w:rsidRPr="00000000">
        <w:rPr>
          <w:rtl w:val="0"/>
        </w:rPr>
        <w:t xml:space="preserve">– La desigualdad económica y la lucha contra la pobreza. Globalización económica y bienes públicos globales. El comercio justo. El derecho al trabajo, la salud, la educación y la justicia. El valor social de los impuestos.</w:t>
      </w:r>
    </w:p>
    <w:p w:rsidR="00000000" w:rsidDel="00000000" w:rsidP="00000000" w:rsidRDefault="00000000" w:rsidRPr="00000000" w14:paraId="00000021">
      <w:pPr>
        <w:spacing w:after="0" w:before="0" w:lineRule="auto"/>
        <w:rPr/>
      </w:pPr>
      <w:r w:rsidDel="00000000" w:rsidR="00000000" w:rsidRPr="00000000">
        <w:rPr>
          <w:rtl w:val="0"/>
        </w:rPr>
        <w:t xml:space="preserve">– La igualdad de género y las diversas olas y corrientes del feminismo. La prevención de la explotación y la violencia contra niñas y mujeres. La corresponsabilidad en las tareas domésticas y de cuidados.</w:t>
      </w:r>
    </w:p>
    <w:p w:rsidR="00000000" w:rsidDel="00000000" w:rsidP="00000000" w:rsidRDefault="00000000" w:rsidRPr="00000000" w14:paraId="00000022">
      <w:pPr>
        <w:spacing w:after="0" w:before="0" w:lineRule="auto"/>
        <w:rPr/>
      </w:pPr>
      <w:r w:rsidDel="00000000" w:rsidR="00000000" w:rsidRPr="00000000">
        <w:rPr>
          <w:rtl w:val="0"/>
        </w:rPr>
        <w:t xml:space="preserve">– El interculturalismo. La inclusión social y el respeto por la diversidad y las identidades etnocultural y de género. Los derechos LGTBIQ+.</w:t>
      </w:r>
    </w:p>
    <w:p w:rsidR="00000000" w:rsidDel="00000000" w:rsidP="00000000" w:rsidRDefault="00000000" w:rsidRPr="00000000" w14:paraId="00000023">
      <w:pPr>
        <w:spacing w:after="0" w:before="0" w:lineRule="auto"/>
        <w:rPr/>
      </w:pPr>
      <w:r w:rsidDel="00000000" w:rsidR="00000000" w:rsidRPr="00000000">
        <w:rPr>
          <w:rtl w:val="0"/>
        </w:rPr>
        <w:t xml:space="preserve">– Fines y límites éticos de la investigación científica. La bioética. El desafío de la inteligencia artificial. Las propuestas transhumanistas.</w:t>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t xml:space="preserve">Bloque C. Sostenibilidad y ética ambiental.</w:t>
      </w:r>
    </w:p>
    <w:p w:rsidR="00000000" w:rsidDel="00000000" w:rsidP="00000000" w:rsidRDefault="00000000" w:rsidRPr="00000000" w14:paraId="00000026">
      <w:pPr>
        <w:spacing w:after="0" w:before="0" w:lineRule="auto"/>
        <w:rPr/>
      </w:pPr>
      <w:r w:rsidDel="00000000" w:rsidR="00000000" w:rsidRPr="00000000">
        <w:rPr>
          <w:rtl w:val="0"/>
        </w:rPr>
        <w:t xml:space="preserve">– Los límites del planeta y el agotamiento de los recursos. La huella ecológica de las acciones humanas. La emergencia climática.</w:t>
      </w:r>
    </w:p>
    <w:p w:rsidR="00000000" w:rsidDel="00000000" w:rsidP="00000000" w:rsidRDefault="00000000" w:rsidRPr="00000000" w14:paraId="00000027">
      <w:pPr>
        <w:spacing w:after="0" w:before="0" w:lineRule="auto"/>
        <w:rPr/>
      </w:pPr>
      <w:r w:rsidDel="00000000" w:rsidR="00000000" w:rsidRPr="00000000">
        <w:rPr>
          <w:rtl w:val="0"/>
        </w:rPr>
        <w:t xml:space="preserve">– El compromiso activo con la protección de los animales y el medio ambiente. Los derechos de los animales y de la naturaleza. La perspectiva biocéntrica.</w:t>
      </w:r>
    </w:p>
    <w:p w:rsidR="00000000" w:rsidDel="00000000" w:rsidP="00000000" w:rsidRDefault="00000000" w:rsidRPr="00000000" w14:paraId="00000028">
      <w:pPr>
        <w:spacing w:after="0" w:before="0" w:lineRule="auto"/>
        <w:rPr/>
      </w:pPr>
      <w:r w:rsidDel="00000000" w:rsidR="00000000" w:rsidRPr="00000000">
        <w:rPr>
          <w:rtl w:val="0"/>
        </w:rPr>
        <w:t xml:space="preserve">– Estilos de vida sostenible: la prevención de los residuos y la gestión sostenible de los recursos. La movilidad segura, saludable y sostenible. El consumo responsable. Alimentación y soberanía alimentaria. Comunidades resilientes y en transición.</w:t>
      </w:r>
    </w:p>
    <w:p w:rsidR="00000000" w:rsidDel="00000000" w:rsidP="00000000" w:rsidRDefault="00000000" w:rsidRPr="00000000" w14:paraId="00000029">
      <w:pPr>
        <w:spacing w:after="0" w:before="0" w:lineRule="auto"/>
        <w:rPr/>
      </w:pPr>
      <w:r w:rsidDel="00000000" w:rsidR="00000000" w:rsidRPr="00000000">
        <w:rPr>
          <w:rtl w:val="0"/>
        </w:rPr>
      </w:r>
    </w:p>
    <w:p w:rsidR="00000000" w:rsidDel="00000000" w:rsidP="00000000" w:rsidRDefault="00000000" w:rsidRPr="00000000" w14:paraId="0000002A">
      <w:pPr>
        <w:spacing w:after="0" w:before="0" w:lineRule="auto"/>
        <w:rPr/>
      </w:pPr>
      <w:r w:rsidDel="00000000" w:rsidR="00000000" w:rsidRPr="00000000">
        <w:rPr>
          <w:rtl w:val="0"/>
        </w:rPr>
      </w:r>
    </w:p>
    <w:p w:rsidR="00000000" w:rsidDel="00000000" w:rsidP="00000000" w:rsidRDefault="00000000" w:rsidRPr="00000000" w14:paraId="0000002B">
      <w:pPr>
        <w:spacing w:after="0" w:before="0" w:lineRule="auto"/>
        <w:rPr/>
      </w:pPr>
      <w:r w:rsidDel="00000000" w:rsidR="00000000" w:rsidRPr="00000000">
        <w:rPr>
          <w:rtl w:val="0"/>
        </w:rPr>
      </w:r>
    </w:p>
    <w:p w:rsidR="00000000" w:rsidDel="00000000" w:rsidP="00000000" w:rsidRDefault="00000000" w:rsidRPr="00000000" w14:paraId="0000002C">
      <w:pPr>
        <w:pStyle w:val="Heading1"/>
        <w:keepLines w:val="1"/>
        <w:numPr>
          <w:ilvl w:val="0"/>
          <w:numId w:val="4"/>
        </w:numPr>
        <w:spacing w:after="140" w:before="240" w:line="288" w:lineRule="auto"/>
        <w:ind w:left="720" w:right="140" w:hanging="360"/>
        <w:rPr>
          <w:sz w:val="36"/>
          <w:szCs w:val="36"/>
        </w:rPr>
      </w:pPr>
      <w:bookmarkStart w:colFirst="0" w:colLast="0" w:name="_heading=h.30j0zll" w:id="5"/>
      <w:bookmarkEnd w:id="5"/>
      <w:r w:rsidDel="00000000" w:rsidR="00000000" w:rsidRPr="00000000">
        <w:rPr>
          <w:sz w:val="36"/>
          <w:szCs w:val="36"/>
          <w:rtl w:val="0"/>
        </w:rPr>
        <w:t xml:space="preserve">Procedimientos e instrumentos de evaluación, junto con los criterios de calificación aplicables</w:t>
      </w:r>
    </w:p>
    <w:p w:rsidR="00000000" w:rsidDel="00000000" w:rsidP="00000000" w:rsidRDefault="00000000" w:rsidRPr="00000000" w14:paraId="0000002D">
      <w:pPr>
        <w:tabs>
          <w:tab w:val="left" w:leader="none" w:pos="426"/>
        </w:tabs>
        <w:rPr/>
      </w:pPr>
      <w:r w:rsidDel="00000000" w:rsidR="00000000" w:rsidRPr="00000000">
        <w:rPr>
          <w:rtl w:val="0"/>
        </w:rPr>
        <w:t xml:space="preserve">Siguiendo las pautas metodológicas arriba mencionadas, se emplearán los siguientes instrumentos de evaluación:</w:t>
      </w:r>
    </w:p>
    <w:p w:rsidR="00000000" w:rsidDel="00000000" w:rsidP="00000000" w:rsidRDefault="00000000" w:rsidRPr="00000000" w14:paraId="0000002E">
      <w:pPr>
        <w:numPr>
          <w:ilvl w:val="0"/>
          <w:numId w:val="1"/>
        </w:numPr>
        <w:tabs>
          <w:tab w:val="left" w:leader="none" w:pos="426"/>
        </w:tabs>
        <w:spacing w:after="0" w:before="0" w:lineRule="auto"/>
        <w:ind w:left="720" w:right="140" w:hanging="360"/>
        <w:rPr/>
      </w:pPr>
      <w:r w:rsidDel="00000000" w:rsidR="00000000" w:rsidRPr="00000000">
        <w:rPr>
          <w:rtl w:val="0"/>
        </w:rPr>
        <w:t xml:space="preserve">Cuaderno del alumno con actividades escritas, individuales y grupales</w:t>
      </w:r>
    </w:p>
    <w:p w:rsidR="00000000" w:rsidDel="00000000" w:rsidP="00000000" w:rsidRDefault="00000000" w:rsidRPr="00000000" w14:paraId="0000002F">
      <w:pPr>
        <w:numPr>
          <w:ilvl w:val="0"/>
          <w:numId w:val="1"/>
        </w:numPr>
        <w:tabs>
          <w:tab w:val="left" w:leader="none" w:pos="426"/>
        </w:tabs>
        <w:spacing w:after="0" w:before="0" w:lineRule="auto"/>
        <w:ind w:left="720" w:right="140" w:hanging="360"/>
        <w:rPr/>
      </w:pPr>
      <w:r w:rsidDel="00000000" w:rsidR="00000000" w:rsidRPr="00000000">
        <w:rPr>
          <w:rtl w:val="0"/>
        </w:rPr>
        <w:t xml:space="preserve">Proyectos individuales y cooperativos (al menos uno por trimestre)</w:t>
      </w:r>
    </w:p>
    <w:p w:rsidR="00000000" w:rsidDel="00000000" w:rsidP="00000000" w:rsidRDefault="00000000" w:rsidRPr="00000000" w14:paraId="00000030">
      <w:pPr>
        <w:numPr>
          <w:ilvl w:val="0"/>
          <w:numId w:val="1"/>
        </w:numPr>
        <w:tabs>
          <w:tab w:val="left" w:leader="none" w:pos="426"/>
        </w:tabs>
        <w:ind w:left="720" w:right="140" w:hanging="360"/>
        <w:rPr/>
      </w:pPr>
      <w:r w:rsidDel="00000000" w:rsidR="00000000" w:rsidRPr="00000000">
        <w:rPr>
          <w:rtl w:val="0"/>
        </w:rPr>
        <w:t xml:space="preserve">Exposiciones orales</w:t>
      </w:r>
    </w:p>
    <w:p w:rsidR="00000000" w:rsidDel="00000000" w:rsidP="00000000" w:rsidRDefault="00000000" w:rsidRPr="00000000" w14:paraId="00000031">
      <w:pPr>
        <w:tabs>
          <w:tab w:val="left" w:leader="none" w:pos="426"/>
        </w:tabs>
        <w:rPr/>
      </w:pPr>
      <w:r w:rsidDel="00000000" w:rsidR="00000000" w:rsidRPr="00000000">
        <w:rPr>
          <w:rtl w:val="0"/>
        </w:rPr>
        <w:t xml:space="preserve">Mediante estos instrumentos, realizaremos una evaluación y calificación de los alumnos atendiendo a los siguientes criterios:</w:t>
      </w:r>
    </w:p>
    <w:p w:rsidR="00000000" w:rsidDel="00000000" w:rsidP="00000000" w:rsidRDefault="00000000" w:rsidRPr="00000000" w14:paraId="00000032">
      <w:pPr>
        <w:numPr>
          <w:ilvl w:val="0"/>
          <w:numId w:val="3"/>
        </w:numPr>
        <w:spacing w:after="0" w:before="0" w:lineRule="auto"/>
        <w:ind w:left="720" w:right="140" w:hanging="360"/>
        <w:rPr/>
      </w:pPr>
      <w:r w:rsidDel="00000000" w:rsidR="00000000" w:rsidRPr="00000000">
        <w:rPr>
          <w:rtl w:val="0"/>
        </w:rPr>
        <w:t xml:space="preserve">Primer trimestre: 30% de la nota final</w:t>
      </w:r>
    </w:p>
    <w:p w:rsidR="00000000" w:rsidDel="00000000" w:rsidP="00000000" w:rsidRDefault="00000000" w:rsidRPr="00000000" w14:paraId="00000033">
      <w:pPr>
        <w:numPr>
          <w:ilvl w:val="0"/>
          <w:numId w:val="3"/>
        </w:numPr>
        <w:spacing w:after="0" w:before="0" w:lineRule="auto"/>
        <w:ind w:left="720" w:right="140" w:hanging="360"/>
        <w:rPr/>
      </w:pPr>
      <w:r w:rsidDel="00000000" w:rsidR="00000000" w:rsidRPr="00000000">
        <w:rPr>
          <w:rtl w:val="0"/>
        </w:rPr>
        <w:t xml:space="preserve">Segundo trimestre: 30% de la nota final</w:t>
      </w:r>
    </w:p>
    <w:p w:rsidR="00000000" w:rsidDel="00000000" w:rsidP="00000000" w:rsidRDefault="00000000" w:rsidRPr="00000000" w14:paraId="00000034">
      <w:pPr>
        <w:numPr>
          <w:ilvl w:val="0"/>
          <w:numId w:val="3"/>
        </w:numPr>
        <w:ind w:left="720" w:right="140" w:hanging="360"/>
        <w:rPr/>
      </w:pPr>
      <w:r w:rsidDel="00000000" w:rsidR="00000000" w:rsidRPr="00000000">
        <w:rPr>
          <w:rtl w:val="0"/>
        </w:rPr>
        <w:t xml:space="preserve">Tercer trimestre: 40% de la nota final</w:t>
      </w:r>
    </w:p>
    <w:p w:rsidR="00000000" w:rsidDel="00000000" w:rsidP="00000000" w:rsidRDefault="00000000" w:rsidRPr="00000000" w14:paraId="00000035">
      <w:pPr>
        <w:rPr/>
      </w:pPr>
      <w:r w:rsidDel="00000000" w:rsidR="00000000" w:rsidRPr="00000000">
        <w:rPr>
          <w:rtl w:val="0"/>
        </w:rPr>
        <w:t xml:space="preserve">Será necesario obtener un 5 en cada evaluación para que se haga media.</w:t>
      </w:r>
    </w:p>
    <w:p w:rsidR="00000000" w:rsidDel="00000000" w:rsidP="00000000" w:rsidRDefault="00000000" w:rsidRPr="00000000" w14:paraId="00000036">
      <w:pPr>
        <w:pStyle w:val="Heading3"/>
        <w:numPr>
          <w:ilvl w:val="2"/>
          <w:numId w:val="1"/>
        </w:numPr>
        <w:ind w:left="2160" w:right="140" w:hanging="360"/>
        <w:rPr/>
      </w:pPr>
      <w:bookmarkStart w:colFirst="0" w:colLast="0" w:name="_heading=h.pbmokq8xdve9" w:id="6"/>
      <w:bookmarkEnd w:id="6"/>
      <w:r w:rsidDel="00000000" w:rsidR="00000000" w:rsidRPr="00000000">
        <w:rPr>
          <w:rtl w:val="0"/>
        </w:rPr>
        <w:t xml:space="preserve">Evaluación ordinaria</w:t>
      </w:r>
    </w:p>
    <w:p w:rsidR="00000000" w:rsidDel="00000000" w:rsidP="00000000" w:rsidRDefault="00000000" w:rsidRPr="00000000" w14:paraId="00000037">
      <w:pPr>
        <w:rPr/>
      </w:pPr>
      <w:r w:rsidDel="00000000" w:rsidR="00000000" w:rsidRPr="00000000">
        <w:rPr>
          <w:rtl w:val="0"/>
        </w:rPr>
        <w:t xml:space="preserve">La calificación de la evaluación trimestral se obtendrá teniendo en cuenta los siguientes porcentajes:</w:t>
      </w:r>
    </w:p>
    <w:p w:rsidR="00000000" w:rsidDel="00000000" w:rsidP="00000000" w:rsidRDefault="00000000" w:rsidRPr="00000000" w14:paraId="00000038">
      <w:pPr>
        <w:numPr>
          <w:ilvl w:val="0"/>
          <w:numId w:val="2"/>
        </w:numPr>
        <w:spacing w:after="0" w:before="0" w:lineRule="auto"/>
        <w:ind w:left="720" w:right="140" w:hanging="360"/>
        <w:rPr/>
      </w:pPr>
      <w:r w:rsidDel="00000000" w:rsidR="00000000" w:rsidRPr="00000000">
        <w:rPr>
          <w:rtl w:val="0"/>
        </w:rPr>
        <w:t xml:space="preserve">Evaluación del cuaderno: actividades escritas (50% de la nota final). En cada evaluación se realizarán diversas actividades escritas, individuales y grupales, tales como fichas, textos argumentativos, dilemas morales</w:t>
      </w:r>
    </w:p>
    <w:p w:rsidR="00000000" w:rsidDel="00000000" w:rsidP="00000000" w:rsidRDefault="00000000" w:rsidRPr="00000000" w14:paraId="00000039">
      <w:pPr>
        <w:numPr>
          <w:ilvl w:val="0"/>
          <w:numId w:val="2"/>
        </w:numPr>
        <w:ind w:left="720" w:right="140" w:hanging="360"/>
        <w:rPr/>
      </w:pPr>
      <w:r w:rsidDel="00000000" w:rsidR="00000000" w:rsidRPr="00000000">
        <w:rPr>
          <w:rtl w:val="0"/>
        </w:rPr>
        <w:t xml:space="preserve">Notas de clase (50% de la nota final). Las notas de clase abarcan diversas actividades de clase, que incluyen pruebas orales y escritas, debates, esquemas conceptuales y exposiciones, proyectos individuales y cooperativos.</w:t>
      </w:r>
    </w:p>
    <w:p w:rsidR="00000000" w:rsidDel="00000000" w:rsidP="00000000" w:rsidRDefault="00000000" w:rsidRPr="00000000" w14:paraId="0000003A">
      <w:pPr>
        <w:rPr/>
      </w:pPr>
      <w:r w:rsidDel="00000000" w:rsidR="00000000" w:rsidRPr="00000000">
        <w:rPr>
          <w:rtl w:val="0"/>
        </w:rPr>
        <w:t xml:space="preserve">La nota del trimestre se redondea, de cara a su aparición en el boletín de notas, a partir del X,51.</w:t>
      </w:r>
    </w:p>
    <w:p w:rsidR="00000000" w:rsidDel="00000000" w:rsidP="00000000" w:rsidRDefault="00000000" w:rsidRPr="00000000" w14:paraId="0000003B">
      <w:pPr>
        <w:pStyle w:val="Heading3"/>
        <w:numPr>
          <w:ilvl w:val="2"/>
          <w:numId w:val="1"/>
        </w:numPr>
        <w:ind w:left="2160" w:right="140" w:hanging="360"/>
        <w:rPr/>
      </w:pPr>
      <w:bookmarkStart w:colFirst="0" w:colLast="0" w:name="_heading=h.lnxbz9" w:id="7"/>
      <w:bookmarkEnd w:id="7"/>
      <w:r w:rsidDel="00000000" w:rsidR="00000000" w:rsidRPr="00000000">
        <w:rPr>
          <w:rtl w:val="0"/>
        </w:rPr>
        <w:t xml:space="preserve">Procedimiento de evaluación para los alumnos que han suspendido una o varias evaluaciones</w:t>
      </w:r>
    </w:p>
    <w:p w:rsidR="00000000" w:rsidDel="00000000" w:rsidP="00000000" w:rsidRDefault="00000000" w:rsidRPr="00000000" w14:paraId="0000003C">
      <w:pPr>
        <w:rPr/>
      </w:pPr>
      <w:r w:rsidDel="00000000" w:rsidR="00000000" w:rsidRPr="00000000">
        <w:rPr>
          <w:rtl w:val="0"/>
        </w:rPr>
        <w:t xml:space="preserve">Si un alumno suspende la 1ª o la 2ª evaluación, deberá entregar las actividades de dicha evaluación para recuperarla antes de la fecha indicada en cada evaluación. La nota de la recuperación será la que obtenga en las pruebas y actividades escritas, que se ponderará con la nota de clase obtenida (que no se modificará en sucesivas evaluaciones).</w:t>
      </w:r>
    </w:p>
    <w:p w:rsidR="00000000" w:rsidDel="00000000" w:rsidP="00000000" w:rsidRDefault="00000000" w:rsidRPr="00000000" w14:paraId="0000003D">
      <w:pPr>
        <w:rPr/>
      </w:pPr>
      <w:r w:rsidDel="00000000" w:rsidR="00000000" w:rsidRPr="00000000">
        <w:rPr>
          <w:rtl w:val="0"/>
        </w:rPr>
        <w:t xml:space="preserve">Si el alumno suspende la 3ª evaluación, se presentará a la convocatoria final ordinaria en las fechas destinadas para ello, examinándose únicamente de las evaluaciones pendientes, mediante una prueba escrita que abarque los contenidos y competencias suspensos. Hará media con el resto de evaluaciones, si las tuviera aprobadas.</w:t>
      </w:r>
    </w:p>
    <w:p w:rsidR="00000000" w:rsidDel="00000000" w:rsidP="00000000" w:rsidRDefault="00000000" w:rsidRPr="00000000" w14:paraId="0000003E">
      <w:pPr>
        <w:pStyle w:val="Heading3"/>
        <w:numPr>
          <w:ilvl w:val="2"/>
          <w:numId w:val="1"/>
        </w:numPr>
        <w:ind w:left="2160" w:right="140" w:hanging="360"/>
        <w:rPr/>
      </w:pPr>
      <w:bookmarkStart w:colFirst="0" w:colLast="0" w:name="_heading=h.nvly6f6lcnfc" w:id="8"/>
      <w:bookmarkEnd w:id="8"/>
      <w:r w:rsidDel="00000000" w:rsidR="00000000" w:rsidRPr="00000000">
        <w:rPr>
          <w:rtl w:val="0"/>
        </w:rPr>
        <w:t xml:space="preserve">Procedimiento y actividades de recuperación para los alumnos con materias pendientes de cursos anteriores</w:t>
      </w:r>
    </w:p>
    <w:p w:rsidR="00000000" w:rsidDel="00000000" w:rsidP="00000000" w:rsidRDefault="00000000" w:rsidRPr="00000000" w14:paraId="0000003F">
      <w:pPr>
        <w:rPr/>
      </w:pPr>
      <w:r w:rsidDel="00000000" w:rsidR="00000000" w:rsidRPr="00000000">
        <w:rPr>
          <w:rtl w:val="0"/>
        </w:rPr>
        <w:t xml:space="preserve">El alumno que haya superado el curso con la materia de Valores Éticos pendiente deberá realizar un cuadernillo con contenidos de toda la materia, en la convocatoria de exámenes de asignaturas pendientes, antes del mes de febrero. De no superar esta prueba, deberá presentarse a la convocatoria ordinaria en las mismas fechas destinadas para los alumnos de la ESO. Se proporcionará a los alumnos suspensos una guía de actividades de apoyo y refuerzo con el fin de ayudarles a preparar la prueba de recuperación de la materia.</w:t>
      </w:r>
    </w:p>
    <w:p w:rsidR="00000000" w:rsidDel="00000000" w:rsidP="00000000" w:rsidRDefault="00000000" w:rsidRPr="00000000" w14:paraId="00000040">
      <w:pPr>
        <w:pStyle w:val="Heading3"/>
        <w:numPr>
          <w:ilvl w:val="2"/>
          <w:numId w:val="1"/>
        </w:numPr>
        <w:ind w:left="2160" w:right="140" w:hanging="360"/>
        <w:rPr/>
      </w:pPr>
      <w:bookmarkStart w:colFirst="0" w:colLast="0" w:name="_heading=h.44cv8aiyswot" w:id="9"/>
      <w:bookmarkEnd w:id="9"/>
      <w:r w:rsidDel="00000000" w:rsidR="00000000" w:rsidRPr="00000000">
        <w:rPr>
          <w:rtl w:val="0"/>
        </w:rPr>
        <w:t xml:space="preserve">Medidas de apoyo y/o refuerzo educativo a lo largo del curso académico</w:t>
      </w:r>
    </w:p>
    <w:p w:rsidR="00000000" w:rsidDel="00000000" w:rsidP="00000000" w:rsidRDefault="00000000" w:rsidRPr="00000000" w14:paraId="00000041">
      <w:pPr>
        <w:rPr/>
      </w:pPr>
      <w:r w:rsidDel="00000000" w:rsidR="00000000" w:rsidRPr="00000000">
        <w:rPr>
          <w:rtl w:val="0"/>
        </w:rPr>
        <w:t xml:space="preserve">Cuando el progreso del alumno no sea el adecuado tras el proceso de evaluación continua, se establecerán medidas personalizadas de apoyo y refuerzo, especificando contenidos, actividades, temporalización, materiales, adecuación a la modalidad de apoyo (grupos flexibles, individualizado, etc.). Se concretará cómo se recuperan las evaluaciones pendientes del mismo curso académico.</w:t>
      </w:r>
    </w:p>
    <w:p w:rsidR="00000000" w:rsidDel="00000000" w:rsidP="00000000" w:rsidRDefault="00000000" w:rsidRPr="00000000" w14:paraId="00000042">
      <w:pPr>
        <w:pStyle w:val="Heading3"/>
        <w:numPr>
          <w:ilvl w:val="2"/>
          <w:numId w:val="1"/>
        </w:numPr>
        <w:ind w:left="2160" w:right="140" w:hanging="360"/>
        <w:rPr/>
      </w:pPr>
      <w:bookmarkStart w:colFirst="0" w:colLast="0" w:name="_heading=h.44sinio" w:id="10"/>
      <w:bookmarkEnd w:id="10"/>
      <w:r w:rsidDel="00000000" w:rsidR="00000000" w:rsidRPr="00000000">
        <w:rPr>
          <w:rtl w:val="0"/>
        </w:rPr>
        <w:t xml:space="preserve">Alumnado al que se desaplica la evaluación continua</w:t>
      </w:r>
    </w:p>
    <w:p w:rsidR="00000000" w:rsidDel="00000000" w:rsidP="00000000" w:rsidRDefault="00000000" w:rsidRPr="00000000" w14:paraId="00000043">
      <w:pPr>
        <w:widowControl w:val="1"/>
        <w:spacing w:after="200" w:before="0" w:line="276" w:lineRule="auto"/>
        <w:ind w:right="140"/>
        <w:jc w:val="left"/>
        <w:rPr/>
      </w:pPr>
      <w:r w:rsidDel="00000000" w:rsidR="00000000" w:rsidRPr="00000000">
        <w:rPr>
          <w:rtl w:val="0"/>
        </w:rPr>
        <w:t xml:space="preserve">Los alumnos que pierdan la evaluación continua deberán entregar los trabajos individuales y grupales realizados en el aula de modo individual para la superación de la materia.</w:t>
      </w:r>
    </w:p>
    <w:sectPr>
      <w:footerReference r:id="rId8" w:type="default"/>
      <w:footerReference r:id="rId9" w:type="first"/>
      <w:footerReference r:id="rId10" w:type="even"/>
      <w:pgSz w:h="16838" w:w="11906" w:orient="portrait"/>
      <w:pgMar w:bottom="1191" w:top="624" w:left="1531" w:right="1247"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iberation Sans"/>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14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46">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tabs>
        <w:tab w:val="center" w:leader="none" w:pos="4252"/>
        <w:tab w:val="right" w:leader="none" w:pos="8504"/>
      </w:tabs>
      <w:spacing w:after="0" w:before="0" w:line="240" w:lineRule="auto"/>
      <w:ind w:right="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49">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tabs>
        <w:tab w:val="center" w:leader="none" w:pos="4252"/>
        <w:tab w:val="right" w:leader="none" w:pos="8504"/>
      </w:tabs>
      <w:spacing w:after="0" w:before="0" w:line="240" w:lineRule="auto"/>
      <w:ind w:right="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spacing w:after="200" w:line="276" w:lineRule="auto"/>
        <w:ind w:right="14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160" w:hanging="360"/>
    </w:pPr>
    <w:rPr>
      <w:rFonts w:ascii="Arial" w:cs="Arial" w:eastAsia="Arial" w:hAnsi="Arial"/>
      <w:sz w:val="24"/>
      <w:szCs w:val="24"/>
    </w:rPr>
  </w:style>
  <w:style w:type="paragraph" w:styleId="Heading4">
    <w:name w:val="heading 4"/>
    <w:basedOn w:val="Normal"/>
    <w:next w:val="Normal"/>
    <w:pPr>
      <w:keepNext w:val="1"/>
      <w:spacing w:after="60" w:before="240" w:lineRule="auto"/>
      <w:ind w:left="2880" w:hanging="360"/>
    </w:pPr>
    <w:rPr>
      <w:rFonts w:ascii="Arial" w:cs="Arial" w:eastAsia="Arial" w:hAnsi="Arial"/>
      <w:b w:val="1"/>
      <w:sz w:val="24"/>
      <w:szCs w:val="24"/>
    </w:rPr>
  </w:style>
  <w:style w:type="paragraph" w:styleId="Heading5">
    <w:name w:val="heading 5"/>
    <w:basedOn w:val="Normal"/>
    <w:next w:val="Normal"/>
    <w:pPr>
      <w:spacing w:after="60" w:before="240" w:lineRule="auto"/>
      <w:ind w:left="3600" w:hanging="360"/>
    </w:pPr>
    <w:rPr>
      <w:rFonts w:ascii="Arial" w:cs="Arial" w:eastAsia="Arial" w:hAnsi="Arial"/>
      <w:sz w:val="22"/>
      <w:szCs w:val="22"/>
    </w:rPr>
  </w:style>
  <w:style w:type="paragraph" w:styleId="Heading6">
    <w:name w:val="heading 6"/>
    <w:basedOn w:val="Normal"/>
    <w:next w:val="Normal"/>
    <w:pPr>
      <w:spacing w:after="60" w:before="240" w:lineRule="auto"/>
      <w:ind w:left="4320" w:hanging="360"/>
    </w:pPr>
    <w:rPr>
      <w:i w:val="1"/>
      <w:sz w:val="22"/>
      <w:szCs w:val="22"/>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Heading7">
    <w:name w:val="heading 7"/>
    <w:basedOn w:val="Normal"/>
    <w:next w:val="Normal"/>
    <w:link w:val="Ttulo7Car"/>
    <w:qFormat w:val="1"/>
    <w:rsid w:val="00EC473E"/>
    <w:pPr>
      <w:numPr>
        <w:ilvl w:val="6"/>
        <w:numId w:val="1"/>
      </w:numPr>
      <w:spacing w:after="60" w:before="240"/>
      <w:outlineLvl w:val="6"/>
    </w:pPr>
    <w:rPr>
      <w:rFonts w:ascii="Arial" w:hAnsi="Arial"/>
    </w:rPr>
  </w:style>
  <w:style w:type="paragraph" w:styleId="Heading8">
    <w:name w:val="heading 8"/>
    <w:basedOn w:val="Normal"/>
    <w:next w:val="Normal"/>
    <w:link w:val="Ttulo8Car"/>
    <w:qFormat w:val="1"/>
    <w:rsid w:val="00EC473E"/>
    <w:pPr>
      <w:numPr>
        <w:ilvl w:val="7"/>
        <w:numId w:val="1"/>
      </w:numPr>
      <w:spacing w:after="60" w:before="240"/>
      <w:outlineLvl w:val="7"/>
    </w:pPr>
    <w:rPr>
      <w:rFonts w:ascii="Arial" w:hAnsi="Arial"/>
      <w:i w:val="1"/>
    </w:rPr>
  </w:style>
  <w:style w:type="paragraph" w:styleId="Heading9">
    <w:name w:val="heading 9"/>
    <w:basedOn w:val="Normal"/>
    <w:next w:val="Normal"/>
    <w:link w:val="Ttulo9Car"/>
    <w:qFormat w:val="1"/>
    <w:rsid w:val="00EC473E"/>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qFormat w:val="1"/>
    <w:rPr/>
  </w:style>
  <w:style w:type="character" w:styleId="EnlacedeInternetuser" w:customStyle="1">
    <w:name w:val="Enlace de Internet (user)"/>
    <w:uiPriority w:val="99"/>
    <w:qFormat w:val="1"/>
    <w:rsid w:val="003A6C23"/>
    <w:rPr>
      <w:color w:val="0000ff"/>
      <w:u w:val="single"/>
    </w:rPr>
  </w:style>
  <w:style w:type="character" w:styleId="TextodegloboCar" w:customStyle="1">
    <w:name w:val="Texto de globo Car"/>
    <w:link w:val="BalloonText"/>
    <w:qFormat w:val="1"/>
    <w:rsid w:val="00C61B13"/>
    <w:rPr>
      <w:rFonts w:ascii="Tahoma" w:cs="Tahoma" w:hAnsi="Tahoma"/>
      <w:sz w:val="16"/>
      <w:szCs w:val="16"/>
      <w:lang w:val="es-ES_tradnl"/>
    </w:rPr>
  </w:style>
  <w:style w:type="character" w:styleId="Ttulo1Car" w:customStyle="1">
    <w:name w:val="Título 1 Car"/>
    <w:qFormat w:val="1"/>
    <w:rsid w:val="00EC473E"/>
    <w:rPr>
      <w:rFonts w:ascii="Arial" w:hAnsi="Arial"/>
      <w:b w:val="1"/>
      <w:kern w:val="2"/>
      <w:sz w:val="28"/>
      <w:lang w:val="es-ES_tradnl"/>
    </w:rPr>
  </w:style>
  <w:style w:type="character" w:styleId="Ttulo2Car" w:customStyle="1">
    <w:name w:val="Título 2 Car"/>
    <w:qFormat w:val="1"/>
    <w:rsid w:val="00EC473E"/>
    <w:rPr>
      <w:rFonts w:ascii="Arial" w:hAnsi="Arial"/>
      <w:b w:val="1"/>
      <w:i w:val="1"/>
      <w:sz w:val="24"/>
      <w:lang w:val="es-ES_tradnl"/>
    </w:rPr>
  </w:style>
  <w:style w:type="character" w:styleId="Ttulo3Car" w:customStyle="1">
    <w:name w:val="Título 3 Car"/>
    <w:qFormat w:val="1"/>
    <w:rsid w:val="00EC473E"/>
    <w:rPr>
      <w:rFonts w:ascii="Arial" w:hAnsi="Arial"/>
      <w:sz w:val="24"/>
      <w:lang w:val="es-ES_tradnl"/>
    </w:rPr>
  </w:style>
  <w:style w:type="character" w:styleId="Ttulo4Car" w:customStyle="1">
    <w:name w:val="Título 4 Car"/>
    <w:qFormat w:val="1"/>
    <w:rsid w:val="00EC473E"/>
    <w:rPr>
      <w:rFonts w:ascii="Arial" w:hAnsi="Arial"/>
      <w:b w:val="1"/>
      <w:sz w:val="24"/>
      <w:lang w:val="es-ES_tradnl"/>
    </w:rPr>
  </w:style>
  <w:style w:type="character" w:styleId="Ttulo5Car" w:customStyle="1">
    <w:name w:val="Título 5 Car"/>
    <w:qFormat w:val="1"/>
    <w:rsid w:val="00EC473E"/>
    <w:rPr>
      <w:rFonts w:ascii="Arial" w:hAnsi="Arial"/>
      <w:sz w:val="22"/>
      <w:lang w:val="es-ES_tradnl"/>
    </w:rPr>
  </w:style>
  <w:style w:type="character" w:styleId="Ttulo6Car" w:customStyle="1">
    <w:name w:val="Título 6 Car"/>
    <w:qFormat w:val="1"/>
    <w:rsid w:val="00EC473E"/>
    <w:rPr>
      <w:i w:val="1"/>
      <w:sz w:val="22"/>
      <w:lang w:val="es-ES_tradnl"/>
    </w:rPr>
  </w:style>
  <w:style w:type="character" w:styleId="Ttulo7Car" w:customStyle="1">
    <w:name w:val="Título 7 Car"/>
    <w:qFormat w:val="1"/>
    <w:rsid w:val="00EC473E"/>
    <w:rPr>
      <w:rFonts w:ascii="Arial" w:hAnsi="Arial"/>
      <w:lang w:val="es-ES_tradnl"/>
    </w:rPr>
  </w:style>
  <w:style w:type="character" w:styleId="Ttulo8Car" w:customStyle="1">
    <w:name w:val="Título 8 Car"/>
    <w:qFormat w:val="1"/>
    <w:rsid w:val="00EC473E"/>
    <w:rPr>
      <w:rFonts w:ascii="Arial" w:hAnsi="Arial"/>
      <w:i w:val="1"/>
      <w:lang w:val="es-ES_tradnl"/>
    </w:rPr>
  </w:style>
  <w:style w:type="character" w:styleId="Ttulo9Car" w:customStyle="1">
    <w:name w:val="Título 9 Car"/>
    <w:qFormat w:val="1"/>
    <w:rsid w:val="00EC473E"/>
    <w:rPr>
      <w:rFonts w:ascii="Arial" w:hAnsi="Arial"/>
      <w:b w:val="1"/>
      <w:i w:val="1"/>
      <w:sz w:val="18"/>
      <w:lang w:val="es-ES_tradnl"/>
    </w:rPr>
  </w:style>
  <w:style w:type="character" w:styleId="TextoindependienteCar" w:customStyle="1">
    <w:name w:val="Texto independiente Car"/>
    <w:basedOn w:val="DefaultParagraphFont"/>
    <w:semiHidden w:val="1"/>
    <w:qFormat w:val="1"/>
    <w:rsid w:val="00960324"/>
    <w:rPr>
      <w:sz w:val="24"/>
      <w:szCs w:val="24"/>
    </w:rPr>
  </w:style>
  <w:style w:type="character" w:styleId="TextonotapieCar" w:customStyle="1">
    <w:name w:val="Texto nota pie Car"/>
    <w:basedOn w:val="DefaultParagraphFont"/>
    <w:uiPriority w:val="99"/>
    <w:semiHidden w:val="1"/>
    <w:qFormat w:val="1"/>
    <w:rsid w:val="00794A24"/>
    <w:rPr>
      <w:lang w:val="es-ES_tradnl"/>
    </w:rPr>
  </w:style>
  <w:style w:type="character" w:styleId="Ancladenotaalpieuser" w:customStyle="1">
    <w:name w:val="Ancla de nota al pie (user)"/>
    <w:qFormat w:val="1"/>
    <w:rPr>
      <w:vertAlign w:val="superscript"/>
    </w:rPr>
  </w:style>
  <w:style w:type="character" w:styleId="FootnoteCharacters" w:customStyle="1">
    <w:name w:val="Footnote Characters"/>
    <w:basedOn w:val="DefaultParagraphFont"/>
    <w:uiPriority w:val="99"/>
    <w:semiHidden w:val="1"/>
    <w:unhideWhenUsed w:val="1"/>
    <w:qFormat w:val="1"/>
    <w:rsid w:val="00794A24"/>
    <w:rPr>
      <w:vertAlign w:val="superscript"/>
    </w:rPr>
  </w:style>
  <w:style w:type="character" w:styleId="Enlacedelndiceuser" w:customStyle="1">
    <w:name w:val="Enlace del índice (user)"/>
    <w:qFormat w:val="1"/>
    <w:rPr/>
  </w:style>
  <w:style w:type="character" w:styleId="Smbolosdenumeracinuser" w:customStyle="1">
    <w:name w:val="Símbolos de numeración (user)"/>
    <w:qFormat w:val="1"/>
    <w:rPr/>
  </w:style>
  <w:style w:type="character" w:styleId="Vietas" w:customStyle="1">
    <w:name w:val="Viñetas"/>
    <w:qFormat w:val="1"/>
    <w:rPr>
      <w:rFonts w:ascii="OpenSymbol" w:cs="OpenSymbol" w:eastAsia="OpenSymbol" w:hAnsi="OpenSymbol"/>
    </w:rPr>
  </w:style>
  <w:style w:type="character" w:styleId="Hyperlink">
    <w:name w:val="Hyperlink"/>
    <w:rPr>
      <w:color w:val="000080"/>
      <w:u w:val="single"/>
    </w:rPr>
  </w:style>
  <w:style w:type="character" w:styleId="Enlacedelndice">
    <w:name w:val="Enlace del índice"/>
    <w:qFormat w:val="1"/>
    <w:rPr/>
  </w:style>
  <w:style w:type="paragraph" w:styleId="Ttulo">
    <w:name w:val="Título"/>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link w:val="TextoindependienteCar"/>
    <w:semiHidden w:val="1"/>
    <w:rsid w:val="00960324"/>
    <w:pPr>
      <w:spacing w:after="113" w:before="0"/>
      <w:jc w:val="both"/>
    </w:pPr>
    <w:rPr>
      <w:sz w:val="24"/>
      <w:szCs w:val="24"/>
      <w:lang w:val="es-ES"/>
    </w:rPr>
  </w:style>
  <w:style w:type="paragraph" w:styleId="List">
    <w:name w:val="List"/>
    <w:basedOn w:val="BodyText"/>
    <w:pPr/>
    <w:rPr>
      <w:rFonts w:cs="FreeSans"/>
    </w:rPr>
  </w:style>
  <w:style w:type="paragraph" w:styleId="Caption">
    <w:name w:val="caption"/>
    <w:basedOn w:val="Normal"/>
    <w:qFormat w:val="1"/>
    <w:pPr>
      <w:suppressLineNumbers w:val="1"/>
      <w:spacing w:after="120" w:before="120"/>
    </w:pPr>
    <w:rPr>
      <w:rFonts w:cs="FreeSans"/>
      <w:i w:val="1"/>
      <w:iCs w:val="1"/>
      <w:sz w:val="24"/>
      <w:szCs w:val="24"/>
    </w:rPr>
  </w:style>
  <w:style w:type="paragraph" w:styleId="ndice">
    <w:name w:val="Índice"/>
    <w:basedOn w:val="Normal"/>
    <w:qFormat w:val="1"/>
    <w:pPr>
      <w:suppressLineNumbers w:val="1"/>
    </w:pPr>
    <w:rPr>
      <w:rFonts w:cs="Lucida Sans"/>
    </w:rPr>
  </w:style>
  <w:style w:type="paragraph" w:styleId="ndiceuser" w:customStyle="1">
    <w:name w:val="Índice (user)"/>
    <w:basedOn w:val="Normal"/>
    <w:qFormat w:val="1"/>
    <w:pPr>
      <w:suppressLineNumbers w:val="1"/>
    </w:pPr>
    <w:rPr>
      <w:rFonts w:cs="FreeSans"/>
    </w:rPr>
  </w:style>
  <w:style w:type="paragraph" w:styleId="membrete" w:customStyle="1">
    <w:name w:val="membrete"/>
    <w:basedOn w:val="Normal"/>
    <w:qFormat w:val="1"/>
    <w:rsid w:val="003A6C23"/>
    <w:pPr/>
    <w:rPr/>
  </w:style>
  <w:style w:type="paragraph" w:styleId="Cabeceraypie">
    <w:name w:val="Cabecera y pie"/>
    <w:basedOn w:val="Normal"/>
    <w:qFormat w:val="1"/>
    <w:pPr/>
    <w:rPr/>
  </w:style>
  <w:style w:type="paragraph" w:styleId="Header">
    <w:name w:val="header"/>
    <w:basedOn w:val="Normal"/>
    <w:rsid w:val="003A6C23"/>
    <w:pPr>
      <w:tabs>
        <w:tab w:val="clear" w:pos="720"/>
        <w:tab w:val="center" w:leader="none" w:pos="4252"/>
        <w:tab w:val="right" w:leader="none" w:pos="8504"/>
      </w:tabs>
    </w:pPr>
    <w:rPr/>
  </w:style>
  <w:style w:type="paragraph" w:styleId="Footer">
    <w:name w:val="footer"/>
    <w:basedOn w:val="Normal"/>
    <w:rsid w:val="003A6C23"/>
    <w:pPr>
      <w:tabs>
        <w:tab w:val="clear" w:pos="720"/>
        <w:tab w:val="center" w:leader="none" w:pos="4252"/>
        <w:tab w:val="right" w:leader="none" w:pos="8504"/>
      </w:tabs>
    </w:pPr>
    <w:rPr/>
  </w:style>
  <w:style w:type="paragraph" w:styleId="BalloonText">
    <w:name w:val="Balloon Text"/>
    <w:basedOn w:val="Normal"/>
    <w:link w:val="TextodegloboCar"/>
    <w:qFormat w:val="1"/>
    <w:rsid w:val="00C61B13"/>
    <w:pPr/>
    <w:rPr>
      <w:rFonts w:ascii="Tahoma" w:cs="Tahoma" w:hAnsi="Tahoma"/>
      <w:sz w:val="16"/>
      <w:szCs w:val="16"/>
    </w:rPr>
  </w:style>
  <w:style w:type="paragraph" w:styleId="ListParagraph">
    <w:name w:val="List Paragraph"/>
    <w:basedOn w:val="Normal"/>
    <w:uiPriority w:val="34"/>
    <w:qFormat w:val="1"/>
    <w:rsid w:val="00D60FF3"/>
    <w:pPr>
      <w:ind w:left="708"/>
    </w:pPr>
    <w:rPr/>
  </w:style>
  <w:style w:type="paragraph" w:styleId="TOC2">
    <w:name w:val="toc 2"/>
    <w:basedOn w:val="Normal"/>
    <w:next w:val="Normal"/>
    <w:autoRedefine w:val="1"/>
    <w:uiPriority w:val="39"/>
    <w:qFormat w:val="1"/>
    <w:rsid w:val="00EC473E"/>
    <w:pPr>
      <w:tabs>
        <w:tab w:val="clear" w:pos="720"/>
        <w:tab w:val="right" w:leader="underscore" w:pos="9355"/>
      </w:tabs>
      <w:spacing w:after="0" w:before="120"/>
      <w:ind w:left="200"/>
    </w:pPr>
    <w:rPr>
      <w:b w:val="1"/>
      <w:sz w:val="22"/>
    </w:rPr>
  </w:style>
  <w:style w:type="paragraph" w:styleId="TOC1">
    <w:name w:val="toc 1"/>
    <w:basedOn w:val="Normal"/>
    <w:next w:val="Normal"/>
    <w:autoRedefine w:val="1"/>
    <w:uiPriority w:val="39"/>
    <w:qFormat w:val="1"/>
    <w:rsid w:val="007D3302"/>
    <w:pPr/>
    <w:rPr>
      <w:sz w:val="24"/>
    </w:rPr>
  </w:style>
  <w:style w:type="paragraph" w:styleId="IndexHeading">
    <w:name w:val="index heading"/>
    <w:basedOn w:val="Ttulo"/>
    <w:pPr/>
    <w:rPr/>
  </w:style>
  <w:style w:type="paragraph" w:styleId="TOCHeading">
    <w:name w:val="TOC Heading"/>
    <w:basedOn w:val="Heading1"/>
    <w:next w:val="Normal"/>
    <w:uiPriority w:val="39"/>
    <w:semiHidden w:val="1"/>
    <w:unhideWhenUsed w:val="1"/>
    <w:qFormat w:val="1"/>
    <w:rsid w:val="007D3302"/>
    <w:pPr>
      <w:keepLines w:val="1"/>
      <w:numPr>
        <w:ilvl w:val="0"/>
        <w:numId w:val="0"/>
      </w:numPr>
      <w:spacing w:after="0" w:before="480"/>
    </w:pPr>
    <w:rPr>
      <w:rFonts w:ascii="Cambria" w:hAnsi="Cambria"/>
      <w:bCs w:val="1"/>
      <w:color w:val="365f91"/>
      <w:kern w:val="0"/>
      <w:szCs w:val="28"/>
      <w:lang w:eastAsia="en-US" w:val="es-ES"/>
    </w:rPr>
  </w:style>
  <w:style w:type="paragraph" w:styleId="TOC3">
    <w:name w:val="toc 3"/>
    <w:basedOn w:val="Normal"/>
    <w:next w:val="Normal"/>
    <w:autoRedefine w:val="1"/>
    <w:uiPriority w:val="39"/>
    <w:unhideWhenUsed w:val="1"/>
    <w:qFormat w:val="1"/>
    <w:rsid w:val="007D3302"/>
    <w:pPr>
      <w:spacing w:after="100" w:before="0"/>
      <w:ind w:left="440"/>
    </w:pPr>
    <w:rPr>
      <w:rFonts w:ascii="Calibri" w:hAnsi="Calibri"/>
      <w:sz w:val="22"/>
      <w:szCs w:val="22"/>
      <w:lang w:eastAsia="en-US" w:val="es-ES"/>
    </w:rPr>
  </w:style>
  <w:style w:type="paragraph" w:styleId="TableParagraph" w:customStyle="1">
    <w:name w:val="Table Paragraph"/>
    <w:basedOn w:val="Normal"/>
    <w:uiPriority w:val="1"/>
    <w:qFormat w:val="1"/>
    <w:rsid w:val="00626477"/>
    <w:pPr>
      <w:widowControl w:val="0"/>
      <w:ind w:left="103"/>
    </w:pPr>
    <w:rPr>
      <w:rFonts w:ascii="Arial" w:cs="Arial" w:eastAsia="Arial" w:hAnsi="Arial"/>
      <w:sz w:val="22"/>
      <w:szCs w:val="22"/>
      <w:lang w:eastAsia="en-US" w:val="en-US"/>
    </w:rPr>
  </w:style>
  <w:style w:type="paragraph" w:styleId="FootnoteText">
    <w:name w:val="footnote text"/>
    <w:basedOn w:val="Normal"/>
    <w:link w:val="TextonotapieCar"/>
    <w:uiPriority w:val="99"/>
    <w:semiHidden w:val="1"/>
    <w:unhideWhenUsed w:val="1"/>
    <w:rsid w:val="00794A24"/>
    <w:pPr/>
    <w:rPr/>
  </w:style>
  <w:style w:type="paragraph" w:styleId="Standard" w:customStyle="1">
    <w:name w:val="Standard"/>
    <w:qFormat w:val="1"/>
    <w:rsid w:val="009159B5"/>
    <w:pPr>
      <w:widowControl w:val="1"/>
      <w:suppressAutoHyphens w:val="1"/>
      <w:bidi w:val="0"/>
      <w:spacing w:after="200" w:before="0" w:line="276" w:lineRule="auto"/>
      <w:ind w:right="140"/>
      <w:jc w:val="left"/>
      <w:textAlignment w:val="baseline"/>
    </w:pPr>
    <w:rPr>
      <w:rFonts w:ascii="Liberation Serif" w:cs="Lucida Sans" w:eastAsia="NSimSun" w:hAnsi="Liberation Serif"/>
      <w:color w:val="auto"/>
      <w:kern w:val="2"/>
      <w:sz w:val="24"/>
      <w:szCs w:val="24"/>
      <w:lang w:bidi="hi-IN" w:eastAsia="zh-CN" w:val="es-ES"/>
    </w:rPr>
  </w:style>
  <w:style w:type="paragraph" w:styleId="Footnote" w:customStyle="1">
    <w:name w:val="Footnote"/>
    <w:basedOn w:val="Standard"/>
    <w:qFormat w:val="1"/>
    <w:rsid w:val="009159B5"/>
    <w:pPr>
      <w:suppressLineNumbers w:val="1"/>
      <w:ind w:left="339" w:hanging="339"/>
    </w:pPr>
    <w:rPr>
      <w:sz w:val="20"/>
      <w:szCs w:val="20"/>
    </w:rPr>
  </w:style>
  <w:style w:type="paragraph" w:styleId="Contenidodelmarcouser" w:customStyle="1">
    <w:name w:val="Contenido del marco (user)"/>
    <w:basedOn w:val="Normal"/>
    <w:qFormat w:val="1"/>
    <w:pPr/>
    <w:rPr/>
  </w:style>
  <w:style w:type="paragraph" w:styleId="Contenidodelatablauser" w:customStyle="1">
    <w:name w:val="Contenido de la tabla (user)"/>
    <w:basedOn w:val="Normal"/>
    <w:qFormat w:val="1"/>
    <w:pPr>
      <w:suppressLineNumbers w:val="1"/>
    </w:pPr>
    <w:rPr/>
  </w:style>
  <w:style w:type="paragraph" w:styleId="Ttulodelatablauser" w:customStyle="1">
    <w:name w:val="Título de la tabla (user)"/>
    <w:basedOn w:val="Contenidodelatablauser"/>
    <w:qFormat w:val="1"/>
    <w:pPr>
      <w:jc w:val="center"/>
    </w:pPr>
    <w:rPr>
      <w:b w:val="1"/>
      <w:bCs w:val="1"/>
    </w:rPr>
  </w:style>
  <w:style w:type="paragraph" w:styleId="Contenidodelmarco">
    <w:name w:val="Contenido del marco"/>
    <w:basedOn w:val="Normal"/>
    <w:qFormat w:val="1"/>
    <w:pPr/>
    <w:rPr/>
  </w:style>
  <w:style w:type="paragraph" w:styleId="TOC4">
    <w:name w:val="toc 4"/>
    <w:basedOn w:val="ndice"/>
    <w:pPr/>
    <w:rPr/>
  </w:style>
  <w:style w:type="paragraph" w:styleId="TOC5">
    <w:name w:val="toc 5"/>
    <w:basedOn w:val="ndice"/>
    <w:pPr/>
    <w:rPr/>
  </w:style>
  <w:style w:type="paragraph" w:styleId="TOC6">
    <w:name w:val="toc 6"/>
    <w:basedOn w:val="ndice"/>
    <w:pPr/>
    <w:rPr/>
  </w:style>
  <w:style w:type="paragraph" w:styleId="TOC7">
    <w:name w:val="toc 7"/>
    <w:basedOn w:val="ndice"/>
    <w:pPr/>
    <w:rPr/>
  </w:style>
  <w:style w:type="paragraph" w:styleId="TOC8">
    <w:name w:val="toc 8"/>
    <w:basedOn w:val="ndice"/>
    <w:pPr/>
    <w:rPr/>
  </w:style>
  <w:style w:type="paragraph" w:styleId="TOC9">
    <w:name w:val="toc 9"/>
    <w:basedOn w:val="ndice"/>
    <w:pPr/>
    <w:rPr/>
  </w:style>
  <w:style w:type="numbering" w:styleId="Ningunalista" w:default="1">
    <w:name w:val="Ninguna lista"/>
    <w:uiPriority w:val="99"/>
    <w:semiHidden w:val="1"/>
    <w:unhideWhenUsed w:val="1"/>
    <w:qFormat w:val="1"/>
  </w:style>
  <w:style w:type="table" w:styleId="Tab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uiPriority w:val="59"/>
    <w:rsid w:val="006A297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320" w:before="0" w:lineRule="auto"/>
      <w:jc w:val="right"/>
    </w:pPr>
    <w:rPr>
      <w:rFonts w:ascii="Playfair Display" w:cs="Playfair Display" w:eastAsia="Playfair Display" w:hAnsi="Playfair Display"/>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JTlKWpCYX8Fajp1mcAvwlcC/Cg==">CgMxLjAyDmguNDFna3YyNW1odzBlMg1oLjY5b2Nrcm04d2VjMg5oLnk2dXJyOXA3bXR6ODIOaC5qNTZwYXJiaXdndXEyDmguY2lpd2lzeDE0cmZsMgloLjMwajB6bGwyDmgucGJtb2txOHhkdmU5MghoLmxueGJ6OTIOaC5udmx5NmY2bGNuZmMyDmguNDRjdjhhaXlzd290MgloLjQ0c2luaW84AHIhMXk4eUFlbEtnMlg2cWlQVmZpTVhzcjFSTFA2YjFhSGt3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2021-09-14T17:10:00Z</dcterms:created>
  <dc:creator>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