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5028565</wp:posOffset>
            </wp:positionH>
            <wp:positionV relativeFrom="paragraph">
              <wp:posOffset>46990</wp:posOffset>
            </wp:positionV>
            <wp:extent cx="723900" cy="634365"/>
            <wp:effectExtent b="0" l="0" r="0" t="0"/>
            <wp:wrapNone/>
            <wp:docPr descr="logo-v1" id="3" name="image1.png"/>
            <a:graphic>
              <a:graphicData uri="http://schemas.openxmlformats.org/drawingml/2006/picture">
                <pic:pic>
                  <pic:nvPicPr>
                    <pic:cNvPr descr="logo-v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4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IES Josefina Aldecoa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heading=h.qih0rgcl92xk" w:id="0"/>
      <w:bookmarkEnd w:id="0"/>
      <w:r w:rsidDel="00000000" w:rsidR="00000000" w:rsidRPr="00000000">
        <w:rPr>
          <w:rtl w:val="0"/>
        </w:rPr>
        <w:t xml:space="preserve">Informativo-Programación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sz w:val="36"/>
          <w:szCs w:val="36"/>
        </w:rPr>
      </w:pPr>
      <w:bookmarkStart w:colFirst="0" w:colLast="0" w:name="_heading=h.4dexwmbtf0ej" w:id="1"/>
      <w:bookmarkEnd w:id="1"/>
      <w:r w:rsidDel="00000000" w:rsidR="00000000" w:rsidRPr="00000000">
        <w:rPr>
          <w:sz w:val="36"/>
          <w:szCs w:val="36"/>
          <w:rtl w:val="0"/>
        </w:rPr>
        <w:t xml:space="preserve">MATERIA / ÁREA / MÓDULO: Filosofía - 1º BACHILLERATO</w:t>
      </w:r>
    </w:p>
    <w:p w:rsidR="00000000" w:rsidDel="00000000" w:rsidP="00000000" w:rsidRDefault="00000000" w:rsidRPr="00000000" w14:paraId="00000008">
      <w:pPr>
        <w:pStyle w:val="Title"/>
        <w:rPr>
          <w:sz w:val="36"/>
          <w:szCs w:val="36"/>
        </w:rPr>
      </w:pPr>
      <w:bookmarkStart w:colFirst="0" w:colLast="0" w:name="_heading=h.mjrnn87g42js" w:id="2"/>
      <w:bookmarkEnd w:id="2"/>
      <w:r w:rsidDel="00000000" w:rsidR="00000000" w:rsidRPr="00000000">
        <w:rPr>
          <w:sz w:val="36"/>
          <w:szCs w:val="36"/>
          <w:rtl w:val="0"/>
        </w:rPr>
        <w:t xml:space="preserve">DEPARTAMENTO: FILOSOFÍA</w:t>
      </w:r>
    </w:p>
    <w:p w:rsidR="00000000" w:rsidDel="00000000" w:rsidP="00000000" w:rsidRDefault="00000000" w:rsidRPr="00000000" w14:paraId="00000009">
      <w:pPr>
        <w:pStyle w:val="Title"/>
        <w:rPr>
          <w:sz w:val="36"/>
          <w:szCs w:val="36"/>
        </w:rPr>
      </w:pPr>
      <w:bookmarkStart w:colFirst="0" w:colLast="0" w:name="_heading=h.waofe24uoivs" w:id="3"/>
      <w:bookmarkEnd w:id="3"/>
      <w:r w:rsidDel="00000000" w:rsidR="00000000" w:rsidRPr="00000000">
        <w:rPr>
          <w:sz w:val="36"/>
          <w:szCs w:val="36"/>
          <w:rtl w:val="0"/>
        </w:rPr>
        <w:t xml:space="preserve">Fecha última actualización: Octubre-2025</w:t>
      </w:r>
    </w:p>
    <w:p w:rsidR="00000000" w:rsidDel="00000000" w:rsidP="00000000" w:rsidRDefault="00000000" w:rsidRPr="00000000" w14:paraId="0000000A">
      <w:pPr>
        <w:pStyle w:val="Title"/>
        <w:rPr>
          <w:sz w:val="36"/>
          <w:szCs w:val="36"/>
        </w:rPr>
      </w:pPr>
      <w:bookmarkStart w:colFirst="0" w:colLast="0" w:name="_heading=h.sc9hybxnjig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Rule="auto"/>
        <w:rPr/>
      </w:pPr>
      <w:r w:rsidDel="00000000" w:rsidR="00000000" w:rsidRPr="00000000">
        <w:rPr>
          <w:rtl w:val="0"/>
        </w:rPr>
        <w:t xml:space="preserve">ÍNDICE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dt>
      <w:sdtPr>
        <w:id w:val="98648553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9127"/>
            </w:tabs>
            <w:spacing w:after="0" w:before="60" w:line="240" w:lineRule="auto"/>
            <w:ind w:right="0"/>
            <w:rPr>
              <w:b w:val="1"/>
              <w:color w:val="000000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gjdgxs">
            <w:r w:rsidDel="00000000" w:rsidR="00000000" w:rsidRPr="00000000">
              <w:rPr>
                <w:b w:val="1"/>
                <w:color w:val="000000"/>
                <w:rtl w:val="0"/>
              </w:rPr>
              <w:t xml:space="preserve">1. Contenidos exigibles mínimos para una evaluación positiva de la materia, área o módulo</w:t>
              <w:tab/>
            </w:r>
          </w:hyperlink>
          <w:r w:rsidDel="00000000" w:rsidR="00000000" w:rsidRPr="00000000">
            <w:rPr>
              <w:b w:val="1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9127"/>
            </w:tabs>
            <w:spacing w:after="0" w:before="60" w:line="240" w:lineRule="auto"/>
            <w:ind w:right="0"/>
            <w:rPr>
              <w:b w:val="1"/>
              <w:color w:val="000000"/>
            </w:rPr>
          </w:pPr>
          <w:hyperlink w:anchor="_heading=h.1fob9te">
            <w:r w:rsidDel="00000000" w:rsidR="00000000" w:rsidRPr="00000000">
              <w:rPr>
                <w:b w:val="1"/>
                <w:color w:val="000000"/>
                <w:rtl w:val="0"/>
              </w:rPr>
              <w:t xml:space="preserve">2. Procedimientos e instrumentos de evaluación, junto con los criterios de calificación aplicables</w:t>
              <w:tab/>
            </w:r>
          </w:hyperlink>
          <w:r w:rsidDel="00000000" w:rsidR="00000000" w:rsidRPr="00000000">
            <w:rPr>
              <w:b w:val="1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9127"/>
            </w:tabs>
            <w:spacing w:after="0" w:before="60" w:line="240" w:lineRule="auto"/>
            <w:ind w:left="360" w:right="0" w:firstLine="0"/>
            <w:rPr>
              <w:color w:val="000000"/>
            </w:rPr>
          </w:pPr>
          <w:hyperlink w:anchor="_heading=h.jy5lxk85i2pp">
            <w:r w:rsidDel="00000000" w:rsidR="00000000" w:rsidRPr="00000000">
              <w:rPr>
                <w:color w:val="000000"/>
                <w:rtl w:val="0"/>
              </w:rPr>
              <w:t xml:space="preserve">2.1. Instrumentos de evaluación</w:t>
              <w:tab/>
            </w:r>
          </w:hyperlink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9127"/>
            </w:tabs>
            <w:spacing w:after="0" w:before="60" w:line="240" w:lineRule="auto"/>
            <w:ind w:left="360" w:right="0" w:firstLine="0"/>
            <w:rPr>
              <w:color w:val="000000"/>
            </w:rPr>
          </w:pPr>
          <w:hyperlink w:anchor="_heading=h.hxy9ogokm7o6">
            <w:r w:rsidDel="00000000" w:rsidR="00000000" w:rsidRPr="00000000">
              <w:rPr>
                <w:color w:val="000000"/>
                <w:rtl w:val="0"/>
              </w:rPr>
              <w:t xml:space="preserve">2.2. Criterios de calificación</w:t>
              <w:tab/>
            </w:r>
          </w:hyperlink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3fwokq0">
            <w:r w:rsidDel="00000000" w:rsidR="00000000" w:rsidRPr="00000000">
              <w:rPr>
                <w:color w:val="000000"/>
                <w:rtl w:val="0"/>
              </w:rPr>
              <w:t xml:space="preserve">Evaluación ordinaria</w:t>
              <w:tab/>
            </w:r>
          </w:hyperlink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1v1yuxt">
            <w:r w:rsidDel="00000000" w:rsidR="00000000" w:rsidRPr="00000000">
              <w:rPr>
                <w:color w:val="000000"/>
                <w:rtl w:val="0"/>
              </w:rPr>
              <w:t xml:space="preserve">Procedimiento de evaluación para los alumnos que han suspendido una o varias evaluaciones</w:t>
              <w:tab/>
            </w:r>
          </w:hyperlink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4f1mdlm">
            <w:r w:rsidDel="00000000" w:rsidR="00000000" w:rsidRPr="00000000">
              <w:rPr>
                <w:color w:val="000000"/>
                <w:rtl w:val="0"/>
              </w:rPr>
              <w:t xml:space="preserve">Procedimiento y actividades de recuperación para los alumnos con materias pendientes de cursos anteriores</w:t>
              <w:tab/>
            </w:r>
          </w:hyperlink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2u6wntf">
            <w:r w:rsidDel="00000000" w:rsidR="00000000" w:rsidRPr="00000000">
              <w:rPr>
                <w:color w:val="000000"/>
                <w:rtl w:val="0"/>
              </w:rPr>
              <w:t xml:space="preserve">Medidas de apoyo y/o refuerzo educativo a lo largo del curso académico</w:t>
              <w:tab/>
            </w:r>
          </w:hyperlink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19c6y18">
            <w:r w:rsidDel="00000000" w:rsidR="00000000" w:rsidRPr="00000000">
              <w:rPr>
                <w:color w:val="000000"/>
                <w:rtl w:val="0"/>
              </w:rPr>
              <w:t xml:space="preserve">Alumnado al que se desaplica la evaluación continua</w:t>
              <w:tab/>
            </w:r>
          </w:hyperlink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9127"/>
            </w:tabs>
            <w:spacing w:after="0" w:before="60" w:line="240" w:lineRule="auto"/>
            <w:ind w:right="0"/>
            <w:rPr>
              <w:b w:val="1"/>
              <w:color w:val="000000"/>
            </w:rPr>
          </w:pPr>
          <w:hyperlink w:anchor="_heading=h.1t3h5sf">
            <w:r w:rsidDel="00000000" w:rsidR="00000000" w:rsidRPr="00000000">
              <w:rPr>
                <w:b w:val="1"/>
                <w:color w:val="000000"/>
                <w:rtl w:val="0"/>
              </w:rPr>
              <w:t xml:space="preserve">3. Estructura de las pruebas extraordinarias y sus criterios de calificación</w:t>
              <w:tab/>
            </w:r>
          </w:hyperlink>
          <w:r w:rsidDel="00000000" w:rsidR="00000000" w:rsidRPr="00000000">
            <w:rPr>
              <w:b w:val="1"/>
              <w:rtl w:val="0"/>
            </w:rPr>
            <w:t xml:space="preserve">8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2"/>
        </w:numPr>
        <w:spacing w:after="60" w:before="0" w:lineRule="auto"/>
        <w:ind w:left="708" w:right="140" w:hanging="708"/>
        <w:rPr>
          <w:sz w:val="36"/>
          <w:szCs w:val="36"/>
        </w:rPr>
      </w:pPr>
      <w:bookmarkStart w:colFirst="0" w:colLast="0" w:name="_heading=h.gjdgxs" w:id="5"/>
      <w:bookmarkEnd w:id="5"/>
      <w:r w:rsidDel="00000000" w:rsidR="00000000" w:rsidRPr="00000000">
        <w:rPr>
          <w:sz w:val="36"/>
          <w:szCs w:val="36"/>
          <w:rtl w:val="0"/>
        </w:rPr>
        <w:t xml:space="preserve">Contenidos exigibles mínimos para una evaluación positiva de la materia, área o módulo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Los contenidos de la materia están divididos en tres bloques: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0"/>
        </w:tabs>
        <w:ind w:left="707" w:right="140" w:hanging="283"/>
        <w:rPr/>
      </w:pPr>
      <w:r w:rsidDel="00000000" w:rsidR="00000000" w:rsidRPr="00000000">
        <w:rPr>
          <w:rtl w:val="0"/>
        </w:rPr>
        <w:t xml:space="preserve">La filosofía y el ser humano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0"/>
        </w:tabs>
        <w:ind w:left="707" w:right="140" w:hanging="283"/>
        <w:rPr/>
      </w:pPr>
      <w:r w:rsidDel="00000000" w:rsidR="00000000" w:rsidRPr="00000000">
        <w:rPr>
          <w:rtl w:val="0"/>
        </w:rPr>
        <w:t xml:space="preserve">Conocimiento y realidad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0"/>
        </w:tabs>
        <w:ind w:left="707" w:right="140" w:hanging="283"/>
        <w:rPr/>
      </w:pPr>
      <w:r w:rsidDel="00000000" w:rsidR="00000000" w:rsidRPr="00000000">
        <w:rPr>
          <w:rtl w:val="0"/>
        </w:rPr>
        <w:t xml:space="preserve">Acción y creación 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Para la materia de Filosofía de 1º de Bachillerato, los saberes básicos son los siguientes: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A. La filosofía y el ser humano.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1. La reflexión filosófica en torno a la propia filosofía.</w:t>
      </w:r>
    </w:p>
    <w:p w:rsidR="00000000" w:rsidDel="00000000" w:rsidP="00000000" w:rsidRDefault="00000000" w:rsidRPr="00000000" w14:paraId="00000024">
      <w:pPr>
        <w:rPr/>
      </w:pPr>
      <w:sdt>
        <w:sdtPr>
          <w:id w:val="-1871364681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− Características y concepciones del saber filosófico. Breve recensión histórica de la filosofía. Las divisiones tradicionales de la filosofía y las áreas actuales de investigación. Vigencia y utilidad de la filosofía: la importancia de filosofar en torno a los retos del siglo XXI.</w:t>
          </w:r>
        </w:sdtContent>
      </w:sdt>
    </w:p>
    <w:p w:rsidR="00000000" w:rsidDel="00000000" w:rsidP="00000000" w:rsidRDefault="00000000" w:rsidRPr="00000000" w14:paraId="00000025">
      <w:pPr>
        <w:rPr/>
      </w:pPr>
      <w:sdt>
        <w:sdtPr>
          <w:id w:val="1447659821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− La filosofía en relación con otros campos del saber y la actividad humana.</w:t>
          </w:r>
        </w:sdtContent>
      </w:sdt>
    </w:p>
    <w:p w:rsidR="00000000" w:rsidDel="00000000" w:rsidP="00000000" w:rsidRDefault="00000000" w:rsidRPr="00000000" w14:paraId="00000026">
      <w:pPr>
        <w:rPr/>
      </w:pPr>
      <w:sdt>
        <w:sdtPr>
          <w:id w:val="1952621810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− Métodos y herramientas básicos del filósofo: el uso y análisis crítico de fuentes; la comprensión e interpretación de documentos filosóficos; la identificación de problemas filosóficos en otros ámbitos de la cultura; el pensamiento y el diálogo argumentativos; la investigación y la disertación filosófica.</w:t>
          </w:r>
        </w:sdtContent>
      </w:sdt>
    </w:p>
    <w:p w:rsidR="00000000" w:rsidDel="00000000" w:rsidP="00000000" w:rsidRDefault="00000000" w:rsidRPr="00000000" w14:paraId="00000027">
      <w:pPr>
        <w:rPr/>
      </w:pPr>
      <w:sdt>
        <w:sdtPr>
          <w:id w:val="711674835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− La discriminación social, de género, etnia y edad en la tradición filosófica.</w:t>
          </w:r>
        </w:sdtContent>
      </w:sdt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2. El ser humano como sujeto y objeto de la experiencia filosófica.</w:t>
      </w:r>
    </w:p>
    <w:p w:rsidR="00000000" w:rsidDel="00000000" w:rsidP="00000000" w:rsidRDefault="00000000" w:rsidRPr="00000000" w14:paraId="00000029">
      <w:pPr>
        <w:rPr/>
      </w:pPr>
      <w:sdt>
        <w:sdtPr>
          <w:id w:val="659254187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− La filosofía y la existencia humana.</w:t>
          </w:r>
        </w:sdtContent>
      </w:sdt>
    </w:p>
    <w:p w:rsidR="00000000" w:rsidDel="00000000" w:rsidP="00000000" w:rsidRDefault="00000000" w:rsidRPr="00000000" w14:paraId="0000002A">
      <w:pPr>
        <w:rPr/>
      </w:pPr>
      <w:sdt>
        <w:sdtPr>
          <w:id w:val="-1723498139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debate sobre la génesis y definición de la naturaleza humana: especificidad natural y condicionantes histórico-culturales. Concepciones filosóficas del ser humano.</w:t>
          </w:r>
        </w:sdtContent>
      </w:sdt>
    </w:p>
    <w:p w:rsidR="00000000" w:rsidDel="00000000" w:rsidP="00000000" w:rsidRDefault="00000000" w:rsidRPr="00000000" w14:paraId="0000002B">
      <w:pPr>
        <w:rPr/>
      </w:pPr>
      <w:sdt>
        <w:sdtPr>
          <w:id w:val="-810384409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− La estructura psicosomática de la personalidad: sensibilidad, emotividad, deseos y volición, las facultades cognitivas. Conciencia y lenguaje.</w:t>
          </w:r>
        </w:sdtContent>
      </w:sdt>
    </w:p>
    <w:p w:rsidR="00000000" w:rsidDel="00000000" w:rsidP="00000000" w:rsidRDefault="00000000" w:rsidRPr="00000000" w14:paraId="0000002C">
      <w:pPr>
        <w:rPr/>
      </w:pPr>
      <w:sdt>
        <w:sdtPr>
          <w:id w:val="1160175107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problema de la identidad personal. Tipos y modos de identidad. La especulación en torno al transhumanismo.</w:t>
          </w:r>
        </w:sdtContent>
      </w:sdt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B. Conocimiento y realidad.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1. El problema filosófico del conocimiento y la verdad.</w:t>
      </w:r>
    </w:p>
    <w:p w:rsidR="00000000" w:rsidDel="00000000" w:rsidP="00000000" w:rsidRDefault="00000000" w:rsidRPr="00000000" w14:paraId="0000002F">
      <w:pPr>
        <w:rPr/>
      </w:pPr>
      <w:sdt>
        <w:sdtPr>
          <w:id w:val="-1893288416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conocimiento: definición, posibilidad y límites. Teorías de la verdad. La desinformación y el fenómeno de la «posverdad».</w:t>
          </w:r>
        </w:sdtContent>
      </w:sdt>
    </w:p>
    <w:p w:rsidR="00000000" w:rsidDel="00000000" w:rsidP="00000000" w:rsidRDefault="00000000" w:rsidRPr="00000000" w14:paraId="00000030">
      <w:pPr>
        <w:rPr/>
      </w:pPr>
      <w:sdt>
        <w:sdtPr>
          <w:id w:val="2039800635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− Las teorías del conocimiento: formas de racionalismo, empirismo y otras teorías.</w:t>
          </w:r>
        </w:sdtContent>
      </w:sdt>
    </w:p>
    <w:p w:rsidR="00000000" w:rsidDel="00000000" w:rsidP="00000000" w:rsidRDefault="00000000" w:rsidRPr="00000000" w14:paraId="00000031">
      <w:pPr>
        <w:rPr/>
      </w:pPr>
      <w:sdt>
        <w:sdtPr>
          <w:id w:val="-228966204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razonamiento y la argumentación. La argumentación informal. Nociones de lógica formal. La detección de falacias y sesgos cognitivos.</w:t>
          </w:r>
        </w:sdtContent>
      </w:sdt>
    </w:p>
    <w:p w:rsidR="00000000" w:rsidDel="00000000" w:rsidP="00000000" w:rsidRDefault="00000000" w:rsidRPr="00000000" w14:paraId="00000032">
      <w:pPr>
        <w:rPr/>
      </w:pPr>
      <w:sdt>
        <w:sdtPr>
          <w:id w:val="-927800494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saber científico: definición, demarcación y metodologías científicas. La filosofía de la ciencia: naturaleza, problemas y límites del conocimiento científico.</w:t>
          </w:r>
        </w:sdtContent>
      </w:sdt>
    </w:p>
    <w:p w:rsidR="00000000" w:rsidDel="00000000" w:rsidP="00000000" w:rsidRDefault="00000000" w:rsidRPr="00000000" w14:paraId="00000033">
      <w:pPr>
        <w:rPr/>
      </w:pPr>
      <w:sdt>
        <w:sdtPr>
          <w:id w:val="-903031639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− Otros modos de saber: el problema del saber metafísico; las creencias religiosas; la razón poética; el saber común.</w:t>
          </w:r>
        </w:sdtContent>
      </w:sdt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La dimensión social y política del conocimiento. Conocimiento, poder e interés. La tecnociencia contemporánea. El papel de la mujer en la ciencia y en los otros saberes.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2. La cuestión de la naturaleza última de la realidad.</w:t>
      </w:r>
    </w:p>
    <w:p w:rsidR="00000000" w:rsidDel="00000000" w:rsidP="00000000" w:rsidRDefault="00000000" w:rsidRPr="00000000" w14:paraId="00000036">
      <w:pPr>
        <w:rPr/>
      </w:pPr>
      <w:sdt>
        <w:sdtPr>
          <w:id w:val="599116540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problema de lo real. Apariencia y realidad. La cuestión de las realidades virtuales.</w:t>
          </w:r>
        </w:sdtContent>
      </w:sdt>
    </w:p>
    <w:p w:rsidR="00000000" w:rsidDel="00000000" w:rsidP="00000000" w:rsidRDefault="00000000" w:rsidRPr="00000000" w14:paraId="00000037">
      <w:pPr>
        <w:rPr/>
      </w:pPr>
      <w:sdt>
        <w:sdtPr>
          <w:id w:val="-1268219491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− Unidad y pluralidad. Categorías y modos de ser. Entidades físicas y objetos ideales: el problema de los universales.</w:t>
          </w:r>
        </w:sdtContent>
      </w:sdt>
    </w:p>
    <w:p w:rsidR="00000000" w:rsidDel="00000000" w:rsidP="00000000" w:rsidRDefault="00000000" w:rsidRPr="00000000" w14:paraId="00000038">
      <w:pPr>
        <w:rPr/>
      </w:pPr>
      <w:sdt>
        <w:sdtPr>
          <w:id w:val="2032752808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problema mente-cuerpo. La filosofía de la mente y el debate en torno a la inteligencia artificial.</w:t>
          </w:r>
        </w:sdtContent>
      </w:sdt>
    </w:p>
    <w:p w:rsidR="00000000" w:rsidDel="00000000" w:rsidP="00000000" w:rsidRDefault="00000000" w:rsidRPr="00000000" w14:paraId="00000039">
      <w:pPr>
        <w:rPr/>
      </w:pPr>
      <w:sdt>
        <w:sdtPr>
          <w:id w:val="-303600915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problema filosófico del tiempo y el cambio. El problema del determinismo. Necesidad, azar y libertad.</w:t>
          </w:r>
        </w:sdtContent>
      </w:sdt>
    </w:p>
    <w:p w:rsidR="00000000" w:rsidDel="00000000" w:rsidP="00000000" w:rsidRDefault="00000000" w:rsidRPr="00000000" w14:paraId="0000003A">
      <w:pPr>
        <w:rPr/>
      </w:pPr>
      <w:sdt>
        <w:sdtPr>
          <w:id w:val="2128789355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problema filosófico de la existencia de Dios. Teísmo, ateísmo y agnosticismo.</w:t>
          </w:r>
        </w:sdtContent>
      </w:sdt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C. Acción y creación.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1. La acción humana: filosofía ética y política.</w:t>
      </w:r>
    </w:p>
    <w:p w:rsidR="00000000" w:rsidDel="00000000" w:rsidP="00000000" w:rsidRDefault="00000000" w:rsidRPr="00000000" w14:paraId="0000003D">
      <w:pPr>
        <w:rPr/>
      </w:pPr>
      <w:sdt>
        <w:sdtPr>
          <w:id w:val="-1931390362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problema ético: cómo hemos de actuar. Ser y deber ser. La deliberación moral. Las condiciones del juicio y el diálogo ético.</w:t>
          </w:r>
        </w:sdtContent>
      </w:sdt>
    </w:p>
    <w:p w:rsidR="00000000" w:rsidDel="00000000" w:rsidP="00000000" w:rsidRDefault="00000000" w:rsidRPr="00000000" w14:paraId="0000003E">
      <w:pPr>
        <w:rPr/>
      </w:pPr>
      <w:sdt>
        <w:sdtPr>
          <w:id w:val="986177978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− La posibilidad de una ética racional. Cognitivismo y emotivismo. El debate en torno al relativismo moral. El reto de una ética universal de mínimos.</w:t>
          </w:r>
        </w:sdtContent>
      </w:sdt>
    </w:p>
    <w:p w:rsidR="00000000" w:rsidDel="00000000" w:rsidP="00000000" w:rsidRDefault="00000000" w:rsidRPr="00000000" w14:paraId="0000003F">
      <w:pPr>
        <w:rPr/>
      </w:pPr>
      <w:sdt>
        <w:sdtPr>
          <w:id w:val="-2038607604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− Las principales respuestas al problema ético: éticas consecuencialistas, éticas del deber y éticas de la virtud. La moral amoral de Nietzsche. Éticas del cuidado. Ética medioambiental. Éticas aplicadas.</w:t>
          </w:r>
        </w:sdtContent>
      </w:sdt>
    </w:p>
    <w:p w:rsidR="00000000" w:rsidDel="00000000" w:rsidP="00000000" w:rsidRDefault="00000000" w:rsidRPr="00000000" w14:paraId="00000040">
      <w:pPr>
        <w:rPr/>
      </w:pPr>
      <w:sdt>
        <w:sdtPr>
          <w:id w:val="-1940808416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− Los derechos humanos: su génesis, legitimidad y vigencia actual. Las distintas generaciones de derechos humanos.</w:t>
          </w:r>
        </w:sdtContent>
      </w:sdt>
    </w:p>
    <w:p w:rsidR="00000000" w:rsidDel="00000000" w:rsidP="00000000" w:rsidRDefault="00000000" w:rsidRPr="00000000" w14:paraId="00000041">
      <w:pPr>
        <w:rPr/>
      </w:pPr>
      <w:sdt>
        <w:sdtPr>
          <w:id w:val="129323910"/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− Grandes cuestiones éticas de nuestro tiempo: la desigualdad y la pobreza; la igualdad efectiva de derechos entre hombres y mujeres; la guerra, el terrorismo y otras formas de violencia; los derechos de la infancia; la discriminación y el respeto a las minorías; los problemas ecosociales y medioambientales; los derechos de los animales.</w:t>
          </w:r>
        </w:sdtContent>
      </w:sdt>
    </w:p>
    <w:p w:rsidR="00000000" w:rsidDel="00000000" w:rsidP="00000000" w:rsidRDefault="00000000" w:rsidRPr="00000000" w14:paraId="00000042">
      <w:pPr>
        <w:rPr/>
      </w:pPr>
      <w:sdt>
        <w:sdtPr>
          <w:id w:val="-1943872906"/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hombre como ser social. Definición de lo político. Legalidad y legitimidad. La cuestión filosófica de la justicia.</w:t>
          </w:r>
        </w:sdtContent>
      </w:sdt>
    </w:p>
    <w:p w:rsidR="00000000" w:rsidDel="00000000" w:rsidP="00000000" w:rsidRDefault="00000000" w:rsidRPr="00000000" w14:paraId="00000043">
      <w:pPr>
        <w:rPr/>
      </w:pPr>
      <w:sdt>
        <w:sdtPr>
          <w:id w:val="-1537333236"/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fundamento de la organización social y del poder político. Teorías del origen sobrenatural vs. teorías contractualistas. La reflexión filosófica en torno a la democracia.</w:t>
          </w:r>
        </w:sdtContent>
      </w:sdt>
    </w:p>
    <w:p w:rsidR="00000000" w:rsidDel="00000000" w:rsidP="00000000" w:rsidRDefault="00000000" w:rsidRPr="00000000" w14:paraId="00000044">
      <w:pPr>
        <w:rPr/>
      </w:pPr>
      <w:sdt>
        <w:sdtPr>
          <w:id w:val="645222612"/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− El diálogo en torno a los principios políticos fundamentales: igualdad y libertad; individuo y Estado; trabajo, propiedad y distribución de la riqueza. El debate político contemporáneo: liberalismo, utilitarismo y comunitarismo.</w:t>
          </w:r>
        </w:sdtContent>
      </w:sdt>
    </w:p>
    <w:p w:rsidR="00000000" w:rsidDel="00000000" w:rsidP="00000000" w:rsidRDefault="00000000" w:rsidRPr="00000000" w14:paraId="00000045">
      <w:pPr>
        <w:rPr/>
      </w:pPr>
      <w:sdt>
        <w:sdtPr>
          <w:id w:val="-1191167696"/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− Ideales, utopías y distopías. Los movimientos sociales y políticos. El feminismo y la perspectiva de género en la filosofía.</w:t>
          </w:r>
        </w:sdtContent>
      </w:sdt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2. La reflexión filosófica en torno a la creación artística.</w:t>
      </w:r>
    </w:p>
    <w:p w:rsidR="00000000" w:rsidDel="00000000" w:rsidP="00000000" w:rsidRDefault="00000000" w:rsidRPr="00000000" w14:paraId="00000047">
      <w:pPr>
        <w:rPr/>
      </w:pPr>
      <w:sdt>
        <w:sdtPr>
          <w:id w:val="733493781"/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− Definición, ámbitos y problemas de la estética: arte, belleza y gusto. La relación de lo estético con otros ámbitos de la cultura. Ética y estética. El papel político del arte.</w:t>
          </w:r>
        </w:sdtContent>
      </w:sdt>
    </w:p>
    <w:p w:rsidR="00000000" w:rsidDel="00000000" w:rsidP="00000000" w:rsidRDefault="00000000" w:rsidRPr="00000000" w14:paraId="00000048">
      <w:pPr>
        <w:rPr/>
      </w:pPr>
      <w:sdt>
        <w:sdtPr>
          <w:id w:val="1918517713"/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− Teorías clásicas y modernas acerca de la belleza y el arte. Teorías y problemas estéticos contemporáneos. La reflexión en torno a la imagen y la cultura audiovisual.</w:t>
            <w:br w:type="textWrapping"/>
          </w:r>
        </w:sdtContent>
      </w:sdt>
    </w:p>
    <w:p w:rsidR="00000000" w:rsidDel="00000000" w:rsidP="00000000" w:rsidRDefault="00000000" w:rsidRPr="00000000" w14:paraId="00000049">
      <w:pPr>
        <w:pStyle w:val="Heading1"/>
        <w:numPr>
          <w:ilvl w:val="0"/>
          <w:numId w:val="2"/>
        </w:numPr>
        <w:ind w:left="708" w:right="140" w:hanging="708"/>
        <w:rPr>
          <w:sz w:val="36"/>
          <w:szCs w:val="36"/>
        </w:rPr>
      </w:pPr>
      <w:bookmarkStart w:colFirst="0" w:colLast="0" w:name="_heading=h.1fob9te" w:id="6"/>
      <w:bookmarkEnd w:id="6"/>
      <w:r w:rsidDel="00000000" w:rsidR="00000000" w:rsidRPr="00000000">
        <w:rPr>
          <w:sz w:val="36"/>
          <w:szCs w:val="36"/>
          <w:rtl w:val="0"/>
        </w:rPr>
        <w:t xml:space="preserve">Procedimientos e instrumentos de evaluación, junto con los criterios de calificación aplicables</w:t>
      </w:r>
    </w:p>
    <w:p w:rsidR="00000000" w:rsidDel="00000000" w:rsidP="00000000" w:rsidRDefault="00000000" w:rsidRPr="00000000" w14:paraId="0000004A">
      <w:pPr>
        <w:pStyle w:val="Heading2"/>
        <w:numPr>
          <w:ilvl w:val="1"/>
          <w:numId w:val="1"/>
        </w:numPr>
        <w:ind w:left="1440" w:right="140" w:hanging="360"/>
        <w:rPr/>
      </w:pPr>
      <w:bookmarkStart w:colFirst="0" w:colLast="0" w:name="_heading=h.jy5lxk85i2pp" w:id="7"/>
      <w:bookmarkEnd w:id="7"/>
      <w:r w:rsidDel="00000000" w:rsidR="00000000" w:rsidRPr="00000000">
        <w:rPr>
          <w:rtl w:val="0"/>
        </w:rPr>
        <w:t xml:space="preserve">2.1. Instrumentos de evaluación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Especificamos a continuación situaciones de aprendizaje, técnicas y actividades que pondremos en práctica a lo largo del curso, atendiendo a su función didáctica. Cada unidad didáctica concreta estas técnicas y actividades dependiendo de los contenidos y de los criterios de evaluación de la unidad.</w:t>
      </w:r>
    </w:p>
    <w:tbl>
      <w:tblPr>
        <w:tblStyle w:val="Table1"/>
        <w:tblW w:w="9944.0" w:type="dxa"/>
        <w:jc w:val="left"/>
        <w:tblInd w:w="-217.00000000000003" w:type="dxa"/>
        <w:tblLayout w:type="fixed"/>
        <w:tblLook w:val="0600"/>
      </w:tblPr>
      <w:tblGrid>
        <w:gridCol w:w="2714"/>
        <w:gridCol w:w="7230"/>
        <w:tblGridChange w:id="0">
          <w:tblGrid>
            <w:gridCol w:w="2714"/>
            <w:gridCol w:w="72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4C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Detección de conocimientos previos / introducción / motivación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Técnica / actividad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Función didáctica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Cuestionarios escritos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Saber cuáles son los conocimientos previos de cada alumno sobre un tema concreto.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Cuestionarios orales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Conocer, de manera global, la opinión mayoritaria previa acerca de un tema propuesto; no permite individuar las opiniones, pero es muy rápida.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Café filosófico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 en pequeño grupo donde los alumnos deben preguntarse una serie de cuestiones sobre un tema dado. Se anotan las respuestas y se ponen en común con el gran grupo.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Análisis de artículos de opinión, publicidad...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Detectar sesgos y opiniones previas mediante el análisis de fuentes no especializadas.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 sobre un texto / vídeo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Contextualizar la unidad didáctica en un marco más amplio; detectar conocimientos previos; motivar en tema relacionándolo con aspectos de la vida cotidiana.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5A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Adquisición de nuevos contenidos / consolidación / síntesis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Lectura y subrayado de los contenidos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Permitir que el alumno se enfrente a los contenidos mediante la lectura, la cual puede complementarse con un guion de preguntas previas que el alumno debe contestar tras la lectura.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Preguntas breves de reflexión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Aplicar contenidos generales a situaciones particulares; desarrollar las capacidades de abstracción y relación.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 sobre un texto / vídeo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Analizar el texto o el vídeo a la luz de los contenidos vistos en la unidad didáctica, bien de manera libre o contestando unas preguntas-guía.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Comentario de texto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3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Analizar las ideas principales y secundarias de un texto dado, así como su estructura expositiva o argumentativa.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Exposición oral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Organizar las ideas relevantes, sintetizando la información, para transmitirla de manera clara, técnica y amena.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Debate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Trabajar la argumentación y expresión oral.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Elaboración de mapas conceptuales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Sintetizar las ideas principales de un texto o un tema, mostrando gráficamente las relaciones entre las ideas.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Elaboración de un diccionario filosófico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Fijar y facilitar el uso de conceptos técnicos.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Búsqueda de información en fuentes diversas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D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Habitúan al alumnado a afrontar y a resolver problemas con autonomía, a plantearse preguntas y a adquirir experiencia en la búsqueda y la consulta autónoma de fuentes especializadas.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E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Elaboración de una disertación filosófica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6F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Promover la creatividad y la originalidad, al mismo tiempo que el rigor argumental y el análisis de material bibliográfico.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70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Proyecto de investigación (individual o cooperativo)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71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Demostrar la capacidad de búsqueda de información, síntesis, exposición y organización de las ideas; también las de trabajo en equipo, si procede, y la exposición en público.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Fichas o exámenes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Saber el nivel de conocimientos o el nivel de desarrollo de competencias del alumno.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numPr>
          <w:ilvl w:val="1"/>
          <w:numId w:val="1"/>
        </w:numPr>
        <w:ind w:left="1440" w:right="140" w:hanging="360"/>
        <w:rPr/>
      </w:pPr>
      <w:bookmarkStart w:colFirst="0" w:colLast="0" w:name="_heading=h.hxy9ogokm7o6" w:id="8"/>
      <w:bookmarkEnd w:id="8"/>
      <w:r w:rsidDel="00000000" w:rsidR="00000000" w:rsidRPr="00000000">
        <w:rPr>
          <w:rtl w:val="0"/>
        </w:rPr>
        <w:t xml:space="preserve">2.2. Criterios de calificación</w:t>
      </w:r>
    </w:p>
    <w:p w:rsidR="00000000" w:rsidDel="00000000" w:rsidP="00000000" w:rsidRDefault="00000000" w:rsidRPr="00000000" w14:paraId="00000076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3fwokq0" w:id="9"/>
      <w:bookmarkEnd w:id="9"/>
      <w:r w:rsidDel="00000000" w:rsidR="00000000" w:rsidRPr="00000000">
        <w:rPr>
          <w:rtl w:val="0"/>
        </w:rPr>
        <w:t xml:space="preserve">Evaluación ordinaria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La calificación de la evaluación trimestral se obtendrá teniendo en cuenta los siguientes porcentajes: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Actividades en el aula (1 ó 2 actividades por trimestre): 20% de la nota. En cada evaluación se realizarán diversas actividades escritas, individuales y grupales, tales como fichas, textos argumentativos, dilemas morales.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Disertación: 30% de la nota. En cada evaluación se realizará un examen de disertación de 90 minutos, referida a alguno de los temas vistos en el trimestre.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right="140" w:hanging="360"/>
        <w:rPr/>
      </w:pPr>
      <w:r w:rsidDel="00000000" w:rsidR="00000000" w:rsidRPr="00000000">
        <w:rPr>
          <w:rtl w:val="0"/>
        </w:rPr>
        <w:t xml:space="preserve">Examen final: 50% de la nota final. Se hará especial hincapié en la adquisición de las competencias específicas de la materia.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Cada competencia específica será calificada al menos 1 vez por trimestre, mediante actividades y preguntas de examen que refieran a los criterios de evaluación.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Se podrá realizar un trabajo extra, acordado con la profesora, para subir hasta 1 punto la nota trimestral.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La nota del trimestre se redondea, de cara a su aparición en el boletín de notas, a partir del X,51.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La nota final del curso se calculará realizando la media de la nota (con dos decimales) de lo obtenido en cada trimestre atendiendo a los siguientes porcentajes: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Primer trimestre: 30% de la nota final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Segundo trimestre: 30% de la nota final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ind w:left="720" w:right="140" w:hanging="360"/>
        <w:rPr/>
      </w:pPr>
      <w:r w:rsidDel="00000000" w:rsidR="00000000" w:rsidRPr="00000000">
        <w:rPr>
          <w:rtl w:val="0"/>
        </w:rPr>
        <w:t xml:space="preserve">Tercer trimestre: 40% de la nota final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Será necesario obtener un 5 en cada evaluación para que se haga media.</w:t>
      </w:r>
    </w:p>
    <w:p w:rsidR="00000000" w:rsidDel="00000000" w:rsidP="00000000" w:rsidRDefault="00000000" w:rsidRPr="00000000" w14:paraId="00000083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1v1yuxt" w:id="10"/>
      <w:bookmarkEnd w:id="10"/>
      <w:r w:rsidDel="00000000" w:rsidR="00000000" w:rsidRPr="00000000">
        <w:rPr>
          <w:rtl w:val="0"/>
        </w:rPr>
        <w:t xml:space="preserve">Procedimiento de evaluación para los alumnos que han suspendido una o varias evaluaciones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Si un alumno suspende la 1ª o la 2ª evaluación, deberá entregar o bien las actividades y realizar la disertación, o bien el examen de recuperación, pero no ambos a la vez, antes de la fecha indicada en cada evaluación. La nota de la recuperación será la que obtenga aplicando el mismo criterio de ponderación que en la evaluación ordinaria.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Si el alumno suspende la 3ª evaluación, o sigue con alguna de las evaluaciones suspensas en la final ordinaria, se presentará a la convocatoria final extraordinaria en las fechas destinadas para ello, examinándose únicamente de las evaluaciones pendientes, mediante una prueba escrita que abarque los contenidos y competencias suspensos. Hará media con el resto de evaluaciones, si las tuviera aprobadas.</w:t>
      </w:r>
    </w:p>
    <w:p w:rsidR="00000000" w:rsidDel="00000000" w:rsidP="00000000" w:rsidRDefault="00000000" w:rsidRPr="00000000" w14:paraId="00000086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4f1mdlm" w:id="11"/>
      <w:bookmarkEnd w:id="11"/>
      <w:r w:rsidDel="00000000" w:rsidR="00000000" w:rsidRPr="00000000">
        <w:rPr>
          <w:rtl w:val="0"/>
        </w:rPr>
        <w:t xml:space="preserve">Procedimiento y actividades de recuperación para los alumnos con materias pendientes de cursos anteriores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El alumno que haya superado el curso con la materia de Filosofía pendiente deberá presentarse a un a prueba de los contenidos de toda la materia, en la convocatoria de exámenes de asignaturas pendientes, en el mes de febrero. De no superar esta prueba, deberá presentarse a la convocatoria ordinaria, y de no superarse, a la extraordinaria. Se proporcionará a los alumnos suspensos una guía de actividades de apoyo y refuerzo con el fin de ayudarles a preparar la prueba de recuperación de la materia.</w:t>
      </w:r>
    </w:p>
    <w:p w:rsidR="00000000" w:rsidDel="00000000" w:rsidP="00000000" w:rsidRDefault="00000000" w:rsidRPr="00000000" w14:paraId="00000088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2u6wntf" w:id="12"/>
      <w:bookmarkEnd w:id="12"/>
      <w:r w:rsidDel="00000000" w:rsidR="00000000" w:rsidRPr="00000000">
        <w:rPr>
          <w:rtl w:val="0"/>
        </w:rPr>
        <w:t xml:space="preserve">Medidas de apoyo y/o refuerzo educativo a lo largo del curso académico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Cuando el progreso del alumno no sea el adecuado tras el proceso de evaluación continua, se establecerán medidas personalizadas de apoyo y refuerzo, especificando contenidos, actividades, temporalización, materiales, adecuación a la modalidad de apoyo (grupos flexibles, individualizado, etc.). Se concretará cómo se recuperan las evaluaciones pendientes del mismo curso académico.</w:t>
      </w:r>
    </w:p>
    <w:p w:rsidR="00000000" w:rsidDel="00000000" w:rsidP="00000000" w:rsidRDefault="00000000" w:rsidRPr="00000000" w14:paraId="0000008A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19c6y18" w:id="13"/>
      <w:bookmarkEnd w:id="13"/>
      <w:r w:rsidDel="00000000" w:rsidR="00000000" w:rsidRPr="00000000">
        <w:rPr>
          <w:rtl w:val="0"/>
        </w:rPr>
        <w:t xml:space="preserve">Alumnado al que se desaplica la evaluación continua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Los alumnos que pierdan la evaluación continua deberán entregar los trabajos individuales y grupales realizados en el aula de modo individual para la superación de la materia, así como presentarse a los exámenes de disertación y global.</w:t>
      </w:r>
    </w:p>
    <w:p w:rsidR="00000000" w:rsidDel="00000000" w:rsidP="00000000" w:rsidRDefault="00000000" w:rsidRPr="00000000" w14:paraId="0000008C">
      <w:pPr>
        <w:pStyle w:val="Heading1"/>
        <w:numPr>
          <w:ilvl w:val="0"/>
          <w:numId w:val="2"/>
        </w:numPr>
        <w:ind w:left="708" w:right="140" w:hanging="708"/>
        <w:rPr/>
      </w:pPr>
      <w:bookmarkStart w:colFirst="0" w:colLast="0" w:name="_heading=h.1t3h5sf" w:id="14"/>
      <w:bookmarkEnd w:id="14"/>
      <w:r w:rsidDel="00000000" w:rsidR="00000000" w:rsidRPr="00000000">
        <w:rPr>
          <w:rtl w:val="0"/>
        </w:rPr>
        <w:t xml:space="preserve">Estructura de las pruebas extraordinarias y sus criterios de calificación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El alumno que haya suspendido la convocatoria ordinaria, se presentará a un examen de contenidos mínimos, establecidos en la sección 1, y que constará de las siguientes pruebas: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- Cuestiones teóricas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- Comentario de texto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- Texto argumentativo</w:t>
      </w:r>
    </w:p>
    <w:p w:rsidR="00000000" w:rsidDel="00000000" w:rsidP="00000000" w:rsidRDefault="00000000" w:rsidRPr="00000000" w14:paraId="00000092">
      <w:pPr>
        <w:widowControl w:val="1"/>
        <w:spacing w:after="200" w:before="0" w:line="276" w:lineRule="auto"/>
        <w:ind w:right="140"/>
        <w:jc w:val="left"/>
        <w:rPr/>
      </w:pPr>
      <w:r w:rsidDel="00000000" w:rsidR="00000000" w:rsidRPr="00000000">
        <w:rPr>
          <w:rtl w:val="0"/>
        </w:rPr>
        <w:t xml:space="preserve">La calificación global de la materia en la convocatoria extraordinaria será la nota del examen.</w:t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191" w:top="624" w:left="1531" w:right="1247" w:header="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ngsuh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14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ind w:left="-993" w:right="-851" w:firstLine="0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ind w:left="-993" w:right="-851" w:firstLine="0"/>
      <w:jc w:val="center"/>
      <w:rPr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Pág. </w:t>
    </w:r>
    <w:r w:rsidDel="00000000" w:rsidR="00000000" w:rsidRPr="00000000">
      <w:rPr>
        <w:rFonts w:ascii="Arial" w:cs="Arial" w:eastAsia="Arial" w:hAnsi="Arial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tabs>
        <w:tab w:val="center" w:leader="none" w:pos="4252"/>
        <w:tab w:val="right" w:leader="none" w:pos="8504"/>
      </w:tabs>
      <w:spacing w:after="0" w:before="0" w:line="240" w:lineRule="auto"/>
      <w:ind w:right="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ind w:left="-993" w:right="-851" w:firstLine="0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ind w:left="-993" w:right="-851" w:firstLine="0"/>
      <w:jc w:val="center"/>
      <w:rPr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Pág. </w:t>
    </w:r>
    <w:r w:rsidDel="00000000" w:rsidR="00000000" w:rsidRPr="00000000">
      <w:rPr>
        <w:rFonts w:ascii="Arial" w:cs="Arial" w:eastAsia="Arial" w:hAnsi="Arial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center" w:leader="none" w:pos="4252"/>
        <w:tab w:val="right" w:leader="none" w:pos="8504"/>
      </w:tabs>
      <w:spacing w:after="0" w:before="0" w:line="240" w:lineRule="auto"/>
      <w:ind w:right="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08" w:hanging="708"/>
      </w:pPr>
      <w:rPr>
        <w:u w:val="none"/>
      </w:rPr>
    </w:lvl>
    <w:lvl w:ilvl="1">
      <w:start w:val="1"/>
      <w:numFmt w:val="decimal"/>
      <w:lvlText w:val="%1.%2."/>
      <w:lvlJc w:val="left"/>
      <w:pPr>
        <w:ind w:left="1416" w:hanging="708"/>
      </w:pPr>
      <w:rPr>
        <w:u w:val="none"/>
      </w:rPr>
    </w:lvl>
    <w:lvl w:ilvl="2">
      <w:start w:val="1"/>
      <w:numFmt w:val="decimal"/>
      <w:lvlText w:val="%1.%2.%3."/>
      <w:lvlJc w:val="left"/>
      <w:pPr>
        <w:ind w:left="2124" w:hanging="707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32" w:hanging="70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6372" w:hanging="707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07" w:hanging="282"/>
      </w:pPr>
      <w:rPr>
        <w:u w:val="none"/>
      </w:rPr>
    </w:lvl>
    <w:lvl w:ilvl="1">
      <w:start w:val="1"/>
      <w:numFmt w:val="decimal"/>
      <w:lvlText w:val="%2."/>
      <w:lvlJc w:val="left"/>
      <w:pPr>
        <w:ind w:left="1414" w:hanging="283"/>
      </w:pPr>
      <w:rPr>
        <w:u w:val="none"/>
      </w:rPr>
    </w:lvl>
    <w:lvl w:ilvl="2">
      <w:start w:val="1"/>
      <w:numFmt w:val="decimal"/>
      <w:lvlText w:val="%3."/>
      <w:lvlJc w:val="left"/>
      <w:pPr>
        <w:ind w:left="2121" w:hanging="283.0000000000002"/>
      </w:pPr>
      <w:rPr>
        <w:u w:val="no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u w:val="no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u w:val="no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u w:val="no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u w:val="no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u w:val="no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_tradnl"/>
      </w:rPr>
    </w:rPrDefault>
    <w:pPrDefault>
      <w:pPr>
        <w:spacing w:after="200" w:line="276" w:lineRule="auto"/>
        <w:ind w:right="1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7">
    <w:name w:val="heading 7"/>
    <w:basedOn w:val="Normal"/>
    <w:next w:val="Normal"/>
    <w:link w:val="Ttulo7Car"/>
    <w:qFormat w:val="1"/>
    <w:rsid w:val="00EC473E"/>
    <w:pPr>
      <w:numPr>
        <w:ilvl w:val="6"/>
        <w:numId w:val="1"/>
      </w:numPr>
      <w:spacing w:after="60" w:before="24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Ttulo8Car"/>
    <w:qFormat w:val="1"/>
    <w:rsid w:val="00EC473E"/>
    <w:pPr>
      <w:numPr>
        <w:ilvl w:val="7"/>
        <w:numId w:val="1"/>
      </w:numPr>
      <w:spacing w:after="60" w:before="240"/>
      <w:outlineLvl w:val="7"/>
    </w:pPr>
    <w:rPr>
      <w:rFonts w:ascii="Arial" w:hAnsi="Arial"/>
      <w:i w:val="1"/>
    </w:rPr>
  </w:style>
  <w:style w:type="paragraph" w:styleId="Heading9">
    <w:name w:val="heading 9"/>
    <w:basedOn w:val="Normal"/>
    <w:next w:val="Normal"/>
    <w:link w:val="Ttulo9Car"/>
    <w:qFormat w:val="1"/>
    <w:rsid w:val="00EC473E"/>
    <w:pPr>
      <w:numPr>
        <w:ilvl w:val="8"/>
        <w:numId w:val="1"/>
      </w:numPr>
      <w:spacing w:after="60" w:before="240"/>
      <w:outlineLvl w:val="8"/>
    </w:pPr>
    <w:rPr>
      <w:rFonts w:ascii="Arial" w:hAnsi="Arial"/>
      <w:b w:val="1"/>
      <w:i w:val="1"/>
      <w:sz w:val="1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lacedeInternetuser" w:customStyle="1">
    <w:name w:val="Enlace de Internet (user)"/>
    <w:uiPriority w:val="99"/>
    <w:qFormat w:val="1"/>
    <w:rsid w:val="003A6C23"/>
    <w:rPr>
      <w:color w:val="0000ff"/>
      <w:u w:val="single"/>
    </w:rPr>
  </w:style>
  <w:style w:type="character" w:styleId="TextodegloboCar" w:customStyle="1">
    <w:name w:val="Texto de globo Car"/>
    <w:link w:val="BalloonText"/>
    <w:qFormat w:val="1"/>
    <w:rsid w:val="00C61B13"/>
    <w:rPr>
      <w:rFonts w:ascii="Tahoma" w:cs="Tahoma" w:hAnsi="Tahoma"/>
      <w:sz w:val="16"/>
      <w:szCs w:val="16"/>
      <w:lang w:val="es-ES_tradnl"/>
    </w:rPr>
  </w:style>
  <w:style w:type="character" w:styleId="Ttulo1Car" w:customStyle="1">
    <w:name w:val="Título 1 Car"/>
    <w:qFormat w:val="1"/>
    <w:rsid w:val="00EC473E"/>
    <w:rPr>
      <w:rFonts w:ascii="Arial" w:hAnsi="Arial"/>
      <w:b w:val="1"/>
      <w:kern w:val="2"/>
      <w:sz w:val="28"/>
      <w:lang w:val="es-ES_tradnl"/>
    </w:rPr>
  </w:style>
  <w:style w:type="character" w:styleId="Ttulo2Car" w:customStyle="1">
    <w:name w:val="Título 2 Car"/>
    <w:qFormat w:val="1"/>
    <w:rsid w:val="00EC473E"/>
    <w:rPr>
      <w:rFonts w:ascii="Arial" w:hAnsi="Arial"/>
      <w:b w:val="1"/>
      <w:i w:val="1"/>
      <w:sz w:val="24"/>
      <w:lang w:val="es-ES_tradnl"/>
    </w:rPr>
  </w:style>
  <w:style w:type="character" w:styleId="Ttulo3Car" w:customStyle="1">
    <w:name w:val="Título 3 Car"/>
    <w:qFormat w:val="1"/>
    <w:rsid w:val="00EC473E"/>
    <w:rPr>
      <w:rFonts w:ascii="Arial" w:hAnsi="Arial"/>
      <w:sz w:val="24"/>
      <w:lang w:val="es-ES_tradnl"/>
    </w:rPr>
  </w:style>
  <w:style w:type="character" w:styleId="Ttulo4Car" w:customStyle="1">
    <w:name w:val="Título 4 Car"/>
    <w:qFormat w:val="1"/>
    <w:rsid w:val="00EC473E"/>
    <w:rPr>
      <w:rFonts w:ascii="Arial" w:hAnsi="Arial"/>
      <w:b w:val="1"/>
      <w:sz w:val="24"/>
      <w:lang w:val="es-ES_tradnl"/>
    </w:rPr>
  </w:style>
  <w:style w:type="character" w:styleId="Ttulo5Car" w:customStyle="1">
    <w:name w:val="Título 5 Car"/>
    <w:qFormat w:val="1"/>
    <w:rsid w:val="00EC473E"/>
    <w:rPr>
      <w:rFonts w:ascii="Arial" w:hAnsi="Arial"/>
      <w:sz w:val="22"/>
      <w:lang w:val="es-ES_tradnl"/>
    </w:rPr>
  </w:style>
  <w:style w:type="character" w:styleId="Ttulo6Car" w:customStyle="1">
    <w:name w:val="Título 6 Car"/>
    <w:qFormat w:val="1"/>
    <w:rsid w:val="00EC473E"/>
    <w:rPr>
      <w:i w:val="1"/>
      <w:sz w:val="22"/>
      <w:lang w:val="es-ES_tradnl"/>
    </w:rPr>
  </w:style>
  <w:style w:type="character" w:styleId="Ttulo7Car" w:customStyle="1">
    <w:name w:val="Título 7 Car"/>
    <w:qFormat w:val="1"/>
    <w:rsid w:val="00EC473E"/>
    <w:rPr>
      <w:rFonts w:ascii="Arial" w:hAnsi="Arial"/>
      <w:lang w:val="es-ES_tradnl"/>
    </w:rPr>
  </w:style>
  <w:style w:type="character" w:styleId="Ttulo8Car" w:customStyle="1">
    <w:name w:val="Título 8 Car"/>
    <w:qFormat w:val="1"/>
    <w:rsid w:val="00EC473E"/>
    <w:rPr>
      <w:rFonts w:ascii="Arial" w:hAnsi="Arial"/>
      <w:i w:val="1"/>
      <w:lang w:val="es-ES_tradnl"/>
    </w:rPr>
  </w:style>
  <w:style w:type="character" w:styleId="Ttulo9Car" w:customStyle="1">
    <w:name w:val="Título 9 Car"/>
    <w:qFormat w:val="1"/>
    <w:rsid w:val="00EC473E"/>
    <w:rPr>
      <w:rFonts w:ascii="Arial" w:hAnsi="Arial"/>
      <w:b w:val="1"/>
      <w:i w:val="1"/>
      <w:sz w:val="18"/>
      <w:lang w:val="es-ES_tradnl"/>
    </w:rPr>
  </w:style>
  <w:style w:type="character" w:styleId="TextoindependienteCar" w:customStyle="1">
    <w:name w:val="Texto independiente Car"/>
    <w:basedOn w:val="DefaultParagraphFont"/>
    <w:semiHidden w:val="1"/>
    <w:qFormat w:val="1"/>
    <w:rsid w:val="00960324"/>
    <w:rPr>
      <w:sz w:val="24"/>
      <w:szCs w:val="24"/>
    </w:rPr>
  </w:style>
  <w:style w:type="character" w:styleId="TextonotapieCar" w:customStyle="1">
    <w:name w:val="Texto nota pie Car"/>
    <w:basedOn w:val="DefaultParagraphFont"/>
    <w:uiPriority w:val="99"/>
    <w:semiHidden w:val="1"/>
    <w:qFormat w:val="1"/>
    <w:rsid w:val="00794A24"/>
    <w:rPr>
      <w:lang w:val="es-ES_tradnl"/>
    </w:rPr>
  </w:style>
  <w:style w:type="character" w:styleId="Ancladenotaalpieuser" w:customStyle="1">
    <w:name w:val="Ancla de nota al pie (user)"/>
    <w:qFormat w:val="1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 w:val="1"/>
    <w:unhideWhenUsed w:val="1"/>
    <w:qFormat w:val="1"/>
    <w:rsid w:val="00794A24"/>
    <w:rPr>
      <w:vertAlign w:val="superscript"/>
    </w:rPr>
  </w:style>
  <w:style w:type="character" w:styleId="Enlacedelndiceuser" w:customStyle="1">
    <w:name w:val="Enlace del índice (user)"/>
    <w:qFormat w:val="1"/>
    <w:rPr/>
  </w:style>
  <w:style w:type="character" w:styleId="Smbolosdenumeracinuser" w:customStyle="1">
    <w:name w:val="Símbolos de numeración (user)"/>
    <w:qFormat w:val="1"/>
    <w:rPr/>
  </w:style>
  <w:style w:type="character" w:styleId="Vietas" w:customStyle="1">
    <w:name w:val="Viñetas"/>
    <w:qFormat w:val="1"/>
    <w:rPr>
      <w:rFonts w:ascii="OpenSymbol" w:cs="OpenSymbol" w:eastAsia="OpenSymbol" w:hAnsi="OpenSymbol"/>
    </w:rPr>
  </w:style>
  <w:style w:type="character" w:styleId="Hyperlink">
    <w:name w:val="Hyperlink"/>
    <w:rPr>
      <w:color w:val="000080"/>
      <w:u w:val="single"/>
    </w:rPr>
  </w:style>
  <w:style w:type="character" w:styleId="Enlacedelndice">
    <w:name w:val="Enlace del índice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link w:val="TextoindependienteCar"/>
    <w:semiHidden w:val="1"/>
    <w:rsid w:val="00960324"/>
    <w:pPr>
      <w:spacing w:after="113" w:before="0"/>
      <w:jc w:val="both"/>
    </w:pPr>
    <w:rPr>
      <w:sz w:val="24"/>
      <w:szCs w:val="24"/>
      <w:lang w:val="es-ES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diceuser" w:customStyle="1">
    <w:name w:val="Índice (user)"/>
    <w:basedOn w:val="Normal"/>
    <w:qFormat w:val="1"/>
    <w:pPr>
      <w:suppressLineNumbers w:val="1"/>
    </w:pPr>
    <w:rPr>
      <w:rFonts w:cs="FreeSans"/>
    </w:rPr>
  </w:style>
  <w:style w:type="paragraph" w:styleId="membrete" w:customStyle="1">
    <w:name w:val="membrete"/>
    <w:basedOn w:val="Normal"/>
    <w:qFormat w:val="1"/>
    <w:rsid w:val="003A6C23"/>
    <w:pPr/>
    <w:rPr/>
  </w:style>
  <w:style w:type="paragraph" w:styleId="Cabeceraypie">
    <w:name w:val="Cabecera y pie"/>
    <w:basedOn w:val="Normal"/>
    <w:qFormat w:val="1"/>
    <w:pPr/>
    <w:rPr/>
  </w:style>
  <w:style w:type="paragraph" w:styleId="Header">
    <w:name w:val="header"/>
    <w:basedOn w:val="Normal"/>
    <w:rsid w:val="003A6C23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rsid w:val="003A6C23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link w:val="TextodegloboCar"/>
    <w:qFormat w:val="1"/>
    <w:rsid w:val="00C61B13"/>
    <w:pPr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60FF3"/>
    <w:pPr>
      <w:ind w:left="708"/>
    </w:pPr>
    <w:rPr/>
  </w:style>
  <w:style w:type="paragraph" w:styleId="TOC2">
    <w:name w:val="toc 2"/>
    <w:basedOn w:val="Normal"/>
    <w:next w:val="Normal"/>
    <w:autoRedefine w:val="1"/>
    <w:uiPriority w:val="39"/>
    <w:qFormat w:val="1"/>
    <w:rsid w:val="00EC473E"/>
    <w:pPr>
      <w:tabs>
        <w:tab w:val="clear" w:pos="720"/>
        <w:tab w:val="right" w:leader="underscore" w:pos="9355"/>
      </w:tabs>
      <w:spacing w:after="0" w:before="120"/>
      <w:ind w:left="200"/>
    </w:pPr>
    <w:rPr>
      <w:b w:val="1"/>
      <w:sz w:val="22"/>
    </w:rPr>
  </w:style>
  <w:style w:type="paragraph" w:styleId="TOC1">
    <w:name w:val="toc 1"/>
    <w:basedOn w:val="Normal"/>
    <w:next w:val="Normal"/>
    <w:autoRedefine w:val="1"/>
    <w:uiPriority w:val="39"/>
    <w:qFormat w:val="1"/>
    <w:rsid w:val="007D3302"/>
    <w:pPr/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7D3302"/>
    <w:pPr>
      <w:keepLines w:val="1"/>
      <w:numPr>
        <w:ilvl w:val="0"/>
        <w:numId w:val="0"/>
      </w:numPr>
      <w:spacing w:after="0" w:before="480"/>
    </w:pPr>
    <w:rPr>
      <w:rFonts w:ascii="Cambria" w:hAnsi="Cambria"/>
      <w:bCs w:val="1"/>
      <w:color w:val="365f91"/>
      <w:kern w:val="0"/>
      <w:szCs w:val="28"/>
      <w:lang w:eastAsia="en-US" w:val="es-ES"/>
    </w:rPr>
  </w:style>
  <w:style w:type="paragraph" w:styleId="TOC3">
    <w:name w:val="toc 3"/>
    <w:basedOn w:val="Normal"/>
    <w:next w:val="Normal"/>
    <w:autoRedefine w:val="1"/>
    <w:uiPriority w:val="39"/>
    <w:unhideWhenUsed w:val="1"/>
    <w:qFormat w:val="1"/>
    <w:rsid w:val="007D3302"/>
    <w:pPr>
      <w:spacing w:after="100" w:before="0"/>
      <w:ind w:left="440"/>
    </w:pPr>
    <w:rPr>
      <w:rFonts w:ascii="Calibri" w:hAnsi="Calibri"/>
      <w:sz w:val="22"/>
      <w:szCs w:val="22"/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626477"/>
    <w:pPr>
      <w:widowControl w:val="0"/>
      <w:ind w:left="103"/>
    </w:pPr>
    <w:rPr>
      <w:rFonts w:ascii="Arial" w:cs="Arial" w:eastAsia="Arial" w:hAnsi="Arial"/>
      <w:sz w:val="22"/>
      <w:szCs w:val="22"/>
      <w:lang w:eastAsia="en-US" w:val="en-US"/>
    </w:rPr>
  </w:style>
  <w:style w:type="paragraph" w:styleId="FootnoteText">
    <w:name w:val="footnote text"/>
    <w:basedOn w:val="Normal"/>
    <w:link w:val="TextonotapieCar"/>
    <w:uiPriority w:val="99"/>
    <w:semiHidden w:val="1"/>
    <w:unhideWhenUsed w:val="1"/>
    <w:rsid w:val="00794A24"/>
    <w:pPr/>
    <w:rPr/>
  </w:style>
  <w:style w:type="paragraph" w:styleId="Standard" w:customStyle="1">
    <w:name w:val="Standard"/>
    <w:qFormat w:val="1"/>
    <w:rsid w:val="009159B5"/>
    <w:pPr>
      <w:widowControl w:val="1"/>
      <w:suppressAutoHyphens w:val="1"/>
      <w:bidi w:val="0"/>
      <w:spacing w:after="200" w:before="0" w:line="276" w:lineRule="auto"/>
      <w:ind w:right="140"/>
      <w:jc w:val="left"/>
      <w:textAlignment w:val="baseline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es-ES"/>
    </w:rPr>
  </w:style>
  <w:style w:type="paragraph" w:styleId="Footnote" w:customStyle="1">
    <w:name w:val="Footnote"/>
    <w:basedOn w:val="Standard"/>
    <w:qFormat w:val="1"/>
    <w:rsid w:val="009159B5"/>
    <w:pPr>
      <w:suppressLineNumbers w:val="1"/>
      <w:ind w:left="339" w:hanging="339"/>
    </w:pPr>
    <w:rPr>
      <w:sz w:val="20"/>
      <w:szCs w:val="20"/>
    </w:rPr>
  </w:style>
  <w:style w:type="paragraph" w:styleId="Contenidodelmarcouser" w:customStyle="1">
    <w:name w:val="Contenido del marco (user)"/>
    <w:basedOn w:val="Normal"/>
    <w:qFormat w:val="1"/>
    <w:pPr/>
    <w:rPr/>
  </w:style>
  <w:style w:type="paragraph" w:styleId="Contenidodelatablauser" w:customStyle="1">
    <w:name w:val="Contenido de la tabla (user)"/>
    <w:basedOn w:val="Normal"/>
    <w:qFormat w:val="1"/>
    <w:pPr>
      <w:suppressLineNumbers w:val="1"/>
    </w:pPr>
    <w:rPr/>
  </w:style>
  <w:style w:type="paragraph" w:styleId="Ttulodelatablauser" w:customStyle="1">
    <w:name w:val="Título de la tabla (user)"/>
    <w:basedOn w:val="Contenidodelatablauser"/>
    <w:qFormat w:val="1"/>
    <w:pPr>
      <w:jc w:val="center"/>
    </w:pPr>
    <w:rPr>
      <w:b w:val="1"/>
      <w:bCs w:val="1"/>
    </w:rPr>
  </w:style>
  <w:style w:type="paragraph" w:styleId="Contenidodelmarco">
    <w:name w:val="Contenido del marco"/>
    <w:basedOn w:val="Normal"/>
    <w:qFormat w:val="1"/>
    <w:pPr/>
    <w:rPr/>
  </w:style>
  <w:style w:type="paragraph" w:styleId="TOC4">
    <w:name w:val="toc 4"/>
    <w:basedOn w:val="ndice"/>
    <w:pPr/>
    <w:rPr/>
  </w:style>
  <w:style w:type="paragraph" w:styleId="TOC5">
    <w:name w:val="toc 5"/>
    <w:basedOn w:val="ndice"/>
    <w:pPr/>
    <w:rPr/>
  </w:style>
  <w:style w:type="paragraph" w:styleId="TOC6">
    <w:name w:val="toc 6"/>
    <w:basedOn w:val="ndice"/>
    <w:pPr/>
    <w:rPr/>
  </w:style>
  <w:style w:type="paragraph" w:styleId="TOC7">
    <w:name w:val="toc 7"/>
    <w:basedOn w:val="ndice"/>
    <w:pPr/>
    <w:rPr/>
  </w:style>
  <w:style w:type="paragraph" w:styleId="TOC8">
    <w:name w:val="toc 8"/>
    <w:basedOn w:val="ndice"/>
    <w:pPr/>
    <w:rPr/>
  </w:style>
  <w:style w:type="paragraph" w:styleId="TOC9">
    <w:name w:val="toc 9"/>
    <w:basedOn w:val="ndice"/>
    <w:pPr/>
    <w:rPr/>
  </w:style>
  <w:style w:type="numbering" w:styleId="Ningunalista" w:default="1">
    <w:name w:val="Ninguna lista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6A297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jc w:val="right"/>
    </w:pPr>
    <w:rPr>
      <w:rFonts w:ascii="Playfair Display" w:cs="Playfair Display" w:eastAsia="Playfair Display" w:hAnsi="Playfair Displa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fqm+RGGIU2+muj0nlYJVGEMgQ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yDmgucWloMHJnY2w5MnhrMg5oLjRkZXh3bWJ0ZjBlajIOaC5tanJubjg3ZzQyanMyDmgud2FvZmUyNHVvaXZzMg5oLnNjOWh5YnhuamlnZDIIaC5namRneHMyCWguMWZvYjl0ZTIOaC5qeTVseGs4NWkycHAyDmguaHh5OW9nb2ttN282MgloLjNmd29rcTAyCWguMXYxeXV4dDIJaC40ZjFtZGxtMgloLjJ1NndudGYyCWguMTljNnkxODIJaC4xdDNoNXNmOAByITFQYVVHbU4zeEgtY0FDNjZkZE4zTDBWbkN0cXhyWXA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2021-09-14T17:10:00Z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