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7E10" w14:textId="130DA7C5" w:rsidR="00DB5281" w:rsidRDefault="00357B8E" w:rsidP="0056679D">
      <w:pPr>
        <w:autoSpaceDE w:val="0"/>
        <w:autoSpaceDN w:val="0"/>
        <w:adjustRightInd w:val="0"/>
        <w:ind w:left="213"/>
        <w:rPr>
          <w:rFonts w:ascii="Comic Sans MS" w:hAnsi="Comic Sans MS" w:cs="Comic Sans MS"/>
          <w:b/>
          <w:bCs/>
          <w:sz w:val="12"/>
          <w:szCs w:val="12"/>
        </w:rPr>
      </w:pPr>
      <w:r>
        <w:rPr>
          <w:rFonts w:ascii="Calibri" w:hAnsi="Calibri" w:cs="Calibri"/>
          <w:b/>
          <w:bCs/>
          <w:noProof/>
          <w:sz w:val="22"/>
          <w:szCs w:val="22"/>
        </w:rPr>
        <w:drawing>
          <wp:inline distT="0" distB="0" distL="0" distR="0" wp14:anchorId="73F703CD" wp14:editId="4DAA2300">
            <wp:extent cx="742950" cy="628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r w:rsidR="00DB5281">
        <w:rPr>
          <w:rFonts w:ascii="Comic Sans MS" w:hAnsi="Comic Sans MS" w:cs="Comic Sans MS"/>
          <w:b/>
          <w:bCs/>
          <w:sz w:val="12"/>
          <w:szCs w:val="12"/>
        </w:rPr>
        <w:t>Mod. 0178</w:t>
      </w:r>
    </w:p>
    <w:p w14:paraId="5A670952" w14:textId="77777777" w:rsidR="00DB5281" w:rsidRDefault="00DB5281" w:rsidP="0056679D">
      <w:pPr>
        <w:autoSpaceDE w:val="0"/>
        <w:autoSpaceDN w:val="0"/>
        <w:adjustRightInd w:val="0"/>
        <w:ind w:left="213"/>
        <w:rPr>
          <w:rFonts w:ascii="FS Albert" w:hAnsi="FS Albert" w:cs="FS Albert"/>
          <w:b/>
          <w:bCs/>
          <w:sz w:val="22"/>
          <w:szCs w:val="22"/>
        </w:rPr>
      </w:pPr>
    </w:p>
    <w:p w14:paraId="3DDD8301" w14:textId="77777777" w:rsidR="00DB5281" w:rsidRDefault="00DB5281" w:rsidP="0056679D">
      <w:pPr>
        <w:autoSpaceDE w:val="0"/>
        <w:autoSpaceDN w:val="0"/>
        <w:adjustRightInd w:val="0"/>
        <w:ind w:left="213"/>
        <w:rPr>
          <w:rFonts w:ascii="FS Albert" w:hAnsi="FS Albert" w:cs="FS Albert"/>
          <w:sz w:val="32"/>
          <w:szCs w:val="32"/>
        </w:rPr>
      </w:pPr>
      <w:r>
        <w:rPr>
          <w:rFonts w:ascii="FS Albert" w:hAnsi="FS Albert" w:cs="FS Albert"/>
          <w:b/>
          <w:bCs/>
          <w:sz w:val="22"/>
          <w:szCs w:val="22"/>
        </w:rPr>
        <w:t>IES</w:t>
      </w:r>
      <w:r>
        <w:rPr>
          <w:rFonts w:ascii="FS Albert" w:hAnsi="FS Albert" w:cs="FS Albert"/>
          <w:sz w:val="32"/>
          <w:szCs w:val="32"/>
        </w:rPr>
        <w:t xml:space="preserve"> Josefina Aldecoa</w:t>
      </w:r>
    </w:p>
    <w:p w14:paraId="75F78CA2" w14:textId="77777777" w:rsidR="00DB5281" w:rsidRDefault="00DB5281" w:rsidP="0056679D">
      <w:pPr>
        <w:rPr>
          <w:rFonts w:ascii="Arial" w:hAnsi="Arial" w:cs="Arial"/>
          <w:b/>
        </w:rPr>
      </w:pPr>
    </w:p>
    <w:p w14:paraId="34DB29CC" w14:textId="77777777" w:rsidR="00DB5281" w:rsidRDefault="00DB5281" w:rsidP="0056679D">
      <w:pPr>
        <w:rPr>
          <w:rFonts w:ascii="Arial" w:hAnsi="Arial" w:cs="Arial"/>
          <w:b/>
        </w:rPr>
      </w:pPr>
    </w:p>
    <w:p w14:paraId="56DF5631" w14:textId="77777777" w:rsidR="00DB5281" w:rsidRPr="00C33EE1" w:rsidRDefault="00DB5281" w:rsidP="0056679D">
      <w:pPr>
        <w:rPr>
          <w:rFonts w:ascii="Arial" w:hAnsi="Arial" w:cs="Arial"/>
          <w:b/>
          <w:sz w:val="32"/>
          <w:szCs w:val="32"/>
        </w:rPr>
      </w:pPr>
      <w:r w:rsidRPr="00C33EE1">
        <w:rPr>
          <w:rFonts w:ascii="Arial" w:hAnsi="Arial" w:cs="Arial"/>
          <w:b/>
          <w:sz w:val="32"/>
          <w:szCs w:val="32"/>
        </w:rPr>
        <w:t xml:space="preserve">MATEMÁTICAS </w:t>
      </w:r>
      <w:r>
        <w:rPr>
          <w:rFonts w:ascii="Arial" w:hAnsi="Arial" w:cs="Arial"/>
          <w:b/>
          <w:sz w:val="32"/>
          <w:szCs w:val="32"/>
        </w:rPr>
        <w:t>2</w:t>
      </w:r>
      <w:r w:rsidRPr="00C33EE1">
        <w:rPr>
          <w:rFonts w:ascii="Arial" w:hAnsi="Arial" w:cs="Arial"/>
          <w:b/>
          <w:sz w:val="32"/>
          <w:szCs w:val="32"/>
        </w:rPr>
        <w:t>º ESO</w:t>
      </w:r>
    </w:p>
    <w:p w14:paraId="50FA82E5" w14:textId="77777777" w:rsidR="00DB5281" w:rsidRDefault="00DB5281" w:rsidP="0056679D"/>
    <w:p w14:paraId="357C7704" w14:textId="77777777" w:rsidR="00DB5281" w:rsidRPr="00C33EE1" w:rsidRDefault="00DB5281" w:rsidP="0056679D">
      <w:pPr>
        <w:rPr>
          <w:rFonts w:ascii="Arial" w:hAnsi="Arial" w:cs="Arial"/>
          <w:b/>
          <w:sz w:val="28"/>
          <w:szCs w:val="28"/>
        </w:rPr>
      </w:pPr>
      <w:r w:rsidRPr="00C33EE1">
        <w:rPr>
          <w:rFonts w:ascii="Arial" w:hAnsi="Arial" w:cs="Arial"/>
          <w:b/>
          <w:sz w:val="28"/>
          <w:szCs w:val="28"/>
        </w:rPr>
        <w:t>DEPARTAMENTO DE MATEMÁTICAS</w:t>
      </w:r>
    </w:p>
    <w:p w14:paraId="02EE968B" w14:textId="77777777" w:rsidR="00DB5281" w:rsidRDefault="00DB5281" w:rsidP="0056679D">
      <w:pPr>
        <w:rPr>
          <w:rFonts w:ascii="Arial" w:hAnsi="Arial" w:cs="Arial"/>
          <w:b/>
          <w:sz w:val="28"/>
          <w:szCs w:val="28"/>
        </w:rPr>
      </w:pPr>
    </w:p>
    <w:p w14:paraId="4DACA56C" w14:textId="77777777" w:rsidR="00DB5281" w:rsidRPr="00C33EE1" w:rsidRDefault="00DB5281" w:rsidP="0056679D">
      <w:pPr>
        <w:rPr>
          <w:rFonts w:ascii="Arial" w:hAnsi="Arial" w:cs="Arial"/>
          <w:b/>
          <w:sz w:val="28"/>
          <w:szCs w:val="28"/>
        </w:rPr>
      </w:pPr>
    </w:p>
    <w:p w14:paraId="735301CA" w14:textId="77777777" w:rsidR="00DB5281" w:rsidRPr="00C33EE1" w:rsidRDefault="00DB5281" w:rsidP="0056679D">
      <w:pPr>
        <w:rPr>
          <w:rFonts w:ascii="Arial" w:hAnsi="Arial" w:cs="Arial"/>
          <w:b/>
          <w:sz w:val="28"/>
          <w:szCs w:val="28"/>
        </w:rPr>
      </w:pPr>
      <w:r w:rsidRPr="00C33EE1">
        <w:rPr>
          <w:rFonts w:ascii="Arial" w:hAnsi="Arial" w:cs="Arial"/>
          <w:b/>
          <w:sz w:val="28"/>
          <w:szCs w:val="28"/>
        </w:rPr>
        <w:t>ÍNDICE</w:t>
      </w:r>
    </w:p>
    <w:p w14:paraId="52788F41" w14:textId="77777777" w:rsidR="00DB5281" w:rsidRDefault="00DB5281"/>
    <w:p w14:paraId="761C879A" w14:textId="77777777" w:rsidR="00DB5281" w:rsidRPr="003F4822" w:rsidRDefault="00DB5281">
      <w:pPr>
        <w:rPr>
          <w:b/>
          <w:bCs/>
        </w:rPr>
      </w:pPr>
    </w:p>
    <w:p w14:paraId="6A9E5AEF" w14:textId="19EF432C" w:rsidR="003F4822" w:rsidRPr="003F4822" w:rsidRDefault="00615CF0">
      <w:pPr>
        <w:pStyle w:val="TDC1"/>
        <w:tabs>
          <w:tab w:val="right" w:leader="dot" w:pos="8494"/>
        </w:tabs>
        <w:rPr>
          <w:rFonts w:asciiTheme="minorHAnsi" w:eastAsiaTheme="minorEastAsia" w:hAnsiTheme="minorHAnsi" w:cstheme="minorBidi"/>
          <w:b/>
          <w:bCs/>
          <w:noProof/>
          <w:kern w:val="2"/>
          <w:sz w:val="22"/>
          <w:szCs w:val="22"/>
          <w:lang w:eastAsia="es-ES"/>
          <w14:ligatures w14:val="standardContextual"/>
        </w:rPr>
      </w:pPr>
      <w:r w:rsidRPr="003F4822">
        <w:rPr>
          <w:rFonts w:ascii="Arial" w:hAnsi="Arial" w:cs="Arial"/>
          <w:b/>
          <w:bCs/>
          <w:i/>
          <w:iCs/>
          <w:sz w:val="28"/>
          <w:szCs w:val="28"/>
        </w:rPr>
        <w:fldChar w:fldCharType="begin"/>
      </w:r>
      <w:r w:rsidR="00DB5281" w:rsidRPr="003F4822">
        <w:rPr>
          <w:rFonts w:ascii="Arial" w:hAnsi="Arial" w:cs="Arial"/>
          <w:b/>
          <w:bCs/>
          <w:i/>
          <w:iCs/>
          <w:sz w:val="28"/>
          <w:szCs w:val="28"/>
        </w:rPr>
        <w:instrText xml:space="preserve"> TOC \o "1-1" \h \z \u </w:instrText>
      </w:r>
      <w:r w:rsidRPr="003F4822">
        <w:rPr>
          <w:rFonts w:ascii="Arial" w:hAnsi="Arial" w:cs="Arial"/>
          <w:b/>
          <w:bCs/>
          <w:i/>
          <w:iCs/>
          <w:sz w:val="28"/>
          <w:szCs w:val="28"/>
        </w:rPr>
        <w:fldChar w:fldCharType="separate"/>
      </w:r>
      <w:hyperlink w:anchor="_Toc148106751" w:history="1">
        <w:r w:rsidR="003F4822" w:rsidRPr="003F4822">
          <w:rPr>
            <w:rStyle w:val="Hipervnculo"/>
            <w:b/>
            <w:bCs/>
            <w:i/>
            <w:noProof/>
          </w:rPr>
          <w:t>1.- Contenidos</w:t>
        </w:r>
        <w:r w:rsidR="003F4822" w:rsidRPr="003F4822">
          <w:rPr>
            <w:b/>
            <w:bCs/>
            <w:noProof/>
            <w:webHidden/>
          </w:rPr>
          <w:tab/>
        </w:r>
        <w:r w:rsidR="003F4822" w:rsidRPr="003F4822">
          <w:rPr>
            <w:b/>
            <w:bCs/>
            <w:noProof/>
            <w:webHidden/>
          </w:rPr>
          <w:fldChar w:fldCharType="begin"/>
        </w:r>
        <w:r w:rsidR="003F4822" w:rsidRPr="003F4822">
          <w:rPr>
            <w:b/>
            <w:bCs/>
            <w:noProof/>
            <w:webHidden/>
          </w:rPr>
          <w:instrText xml:space="preserve"> PAGEREF _Toc148106751 \h </w:instrText>
        </w:r>
        <w:r w:rsidR="003F4822" w:rsidRPr="003F4822">
          <w:rPr>
            <w:b/>
            <w:bCs/>
            <w:noProof/>
            <w:webHidden/>
          </w:rPr>
        </w:r>
        <w:r w:rsidR="003F4822" w:rsidRPr="003F4822">
          <w:rPr>
            <w:b/>
            <w:bCs/>
            <w:noProof/>
            <w:webHidden/>
          </w:rPr>
          <w:fldChar w:fldCharType="separate"/>
        </w:r>
        <w:r w:rsidR="00AF3C82">
          <w:rPr>
            <w:b/>
            <w:bCs/>
            <w:noProof/>
            <w:webHidden/>
          </w:rPr>
          <w:t>1</w:t>
        </w:r>
        <w:r w:rsidR="003F4822" w:rsidRPr="003F4822">
          <w:rPr>
            <w:b/>
            <w:bCs/>
            <w:noProof/>
            <w:webHidden/>
          </w:rPr>
          <w:fldChar w:fldCharType="end"/>
        </w:r>
      </w:hyperlink>
    </w:p>
    <w:p w14:paraId="5813661A" w14:textId="4EDCE049" w:rsidR="003F4822" w:rsidRPr="003F4822" w:rsidRDefault="003F4822">
      <w:pPr>
        <w:pStyle w:val="TDC1"/>
        <w:tabs>
          <w:tab w:val="right" w:leader="dot" w:pos="8494"/>
        </w:tabs>
        <w:rPr>
          <w:rFonts w:asciiTheme="minorHAnsi" w:eastAsiaTheme="minorEastAsia" w:hAnsiTheme="minorHAnsi" w:cstheme="minorBidi"/>
          <w:b/>
          <w:bCs/>
          <w:noProof/>
          <w:kern w:val="2"/>
          <w:sz w:val="22"/>
          <w:szCs w:val="22"/>
          <w:lang w:eastAsia="es-ES"/>
          <w14:ligatures w14:val="standardContextual"/>
        </w:rPr>
      </w:pPr>
      <w:hyperlink w:anchor="_Toc148106752" w:history="1">
        <w:r w:rsidRPr="003F4822">
          <w:rPr>
            <w:rStyle w:val="Hipervnculo"/>
            <w:b/>
            <w:bCs/>
            <w:i/>
            <w:noProof/>
          </w:rPr>
          <w:t xml:space="preserve">2.- </w:t>
        </w:r>
        <w:r w:rsidRPr="003F4822">
          <w:rPr>
            <w:rStyle w:val="Hipervnculo"/>
            <w:b/>
            <w:bCs/>
            <w:i/>
            <w:iCs/>
            <w:noProof/>
          </w:rPr>
          <w:t>Criterios de calificación</w:t>
        </w:r>
        <w:r w:rsidRPr="003F4822">
          <w:rPr>
            <w:b/>
            <w:bCs/>
            <w:noProof/>
            <w:webHidden/>
          </w:rPr>
          <w:tab/>
        </w:r>
        <w:r w:rsidRPr="003F4822">
          <w:rPr>
            <w:b/>
            <w:bCs/>
            <w:noProof/>
            <w:webHidden/>
          </w:rPr>
          <w:fldChar w:fldCharType="begin"/>
        </w:r>
        <w:r w:rsidRPr="003F4822">
          <w:rPr>
            <w:b/>
            <w:bCs/>
            <w:noProof/>
            <w:webHidden/>
          </w:rPr>
          <w:instrText xml:space="preserve"> PAGEREF _Toc148106752 \h </w:instrText>
        </w:r>
        <w:r w:rsidRPr="003F4822">
          <w:rPr>
            <w:b/>
            <w:bCs/>
            <w:noProof/>
            <w:webHidden/>
          </w:rPr>
        </w:r>
        <w:r w:rsidRPr="003F4822">
          <w:rPr>
            <w:b/>
            <w:bCs/>
            <w:noProof/>
            <w:webHidden/>
          </w:rPr>
          <w:fldChar w:fldCharType="separate"/>
        </w:r>
        <w:r w:rsidR="00AF3C82">
          <w:rPr>
            <w:b/>
            <w:bCs/>
            <w:noProof/>
            <w:webHidden/>
          </w:rPr>
          <w:t>3</w:t>
        </w:r>
        <w:r w:rsidRPr="003F4822">
          <w:rPr>
            <w:b/>
            <w:bCs/>
            <w:noProof/>
            <w:webHidden/>
          </w:rPr>
          <w:fldChar w:fldCharType="end"/>
        </w:r>
      </w:hyperlink>
    </w:p>
    <w:p w14:paraId="7B40E722" w14:textId="18923112" w:rsidR="003F4822" w:rsidRPr="003F4822" w:rsidRDefault="003F4822">
      <w:pPr>
        <w:pStyle w:val="TDC1"/>
        <w:tabs>
          <w:tab w:val="right" w:leader="dot" w:pos="8494"/>
        </w:tabs>
        <w:rPr>
          <w:rFonts w:asciiTheme="minorHAnsi" w:eastAsiaTheme="minorEastAsia" w:hAnsiTheme="minorHAnsi" w:cstheme="minorBidi"/>
          <w:b/>
          <w:bCs/>
          <w:noProof/>
          <w:kern w:val="2"/>
          <w:sz w:val="22"/>
          <w:szCs w:val="22"/>
          <w:lang w:eastAsia="es-ES"/>
          <w14:ligatures w14:val="standardContextual"/>
        </w:rPr>
      </w:pPr>
      <w:hyperlink w:anchor="_Toc148106753" w:history="1">
        <w:r w:rsidRPr="003F4822">
          <w:rPr>
            <w:rStyle w:val="Hipervnculo"/>
            <w:b/>
            <w:bCs/>
            <w:noProof/>
          </w:rPr>
          <w:t>3.- Orientaciones alumnos con la materia pendiente (matriculados en cursos posteriores)</w:t>
        </w:r>
        <w:r w:rsidRPr="003F4822">
          <w:rPr>
            <w:b/>
            <w:bCs/>
            <w:noProof/>
            <w:webHidden/>
          </w:rPr>
          <w:tab/>
        </w:r>
        <w:r w:rsidRPr="003F4822">
          <w:rPr>
            <w:b/>
            <w:bCs/>
            <w:noProof/>
            <w:webHidden/>
          </w:rPr>
          <w:fldChar w:fldCharType="begin"/>
        </w:r>
        <w:r w:rsidRPr="003F4822">
          <w:rPr>
            <w:b/>
            <w:bCs/>
            <w:noProof/>
            <w:webHidden/>
          </w:rPr>
          <w:instrText xml:space="preserve"> PAGEREF _Toc148106753 \h </w:instrText>
        </w:r>
        <w:r w:rsidRPr="003F4822">
          <w:rPr>
            <w:b/>
            <w:bCs/>
            <w:noProof/>
            <w:webHidden/>
          </w:rPr>
        </w:r>
        <w:r w:rsidRPr="003F4822">
          <w:rPr>
            <w:b/>
            <w:bCs/>
            <w:noProof/>
            <w:webHidden/>
          </w:rPr>
          <w:fldChar w:fldCharType="separate"/>
        </w:r>
        <w:r w:rsidR="00AF3C82">
          <w:rPr>
            <w:b/>
            <w:bCs/>
            <w:noProof/>
            <w:webHidden/>
          </w:rPr>
          <w:t>4</w:t>
        </w:r>
        <w:r w:rsidRPr="003F4822">
          <w:rPr>
            <w:b/>
            <w:bCs/>
            <w:noProof/>
            <w:webHidden/>
          </w:rPr>
          <w:fldChar w:fldCharType="end"/>
        </w:r>
      </w:hyperlink>
    </w:p>
    <w:p w14:paraId="01CFFE3E" w14:textId="03EFEE94" w:rsidR="00DB5281" w:rsidRPr="000B7811" w:rsidRDefault="00615CF0">
      <w:r w:rsidRPr="003F4822">
        <w:rPr>
          <w:rFonts w:ascii="Arial" w:hAnsi="Arial" w:cs="Arial"/>
          <w:b/>
          <w:bCs/>
          <w:i/>
          <w:iCs/>
          <w:sz w:val="28"/>
          <w:szCs w:val="28"/>
        </w:rPr>
        <w:fldChar w:fldCharType="end"/>
      </w:r>
    </w:p>
    <w:p w14:paraId="2359431A" w14:textId="77777777" w:rsidR="00DB5281" w:rsidRPr="00B2726D" w:rsidRDefault="00DB5281" w:rsidP="00C73CD2">
      <w:pPr>
        <w:pStyle w:val="Ttulo1"/>
        <w:rPr>
          <w:i/>
          <w:sz w:val="28"/>
          <w:szCs w:val="28"/>
        </w:rPr>
      </w:pPr>
      <w:bookmarkStart w:id="0" w:name="_Toc148106751"/>
      <w:r w:rsidRPr="00B2726D">
        <w:rPr>
          <w:i/>
          <w:sz w:val="28"/>
          <w:szCs w:val="28"/>
        </w:rPr>
        <w:t>1.- C</w:t>
      </w:r>
      <w:r>
        <w:rPr>
          <w:i/>
          <w:sz w:val="28"/>
          <w:szCs w:val="28"/>
        </w:rPr>
        <w:t>ontenidos</w:t>
      </w:r>
      <w:bookmarkEnd w:id="0"/>
    </w:p>
    <w:p w14:paraId="52238962" w14:textId="77777777" w:rsidR="00752E29" w:rsidRPr="00752E29" w:rsidRDefault="00752E29" w:rsidP="00752E29">
      <w:pPr>
        <w:rPr>
          <w:lang w:val="es-ES_tradnl" w:eastAsia="es-ES"/>
        </w:rPr>
      </w:pPr>
    </w:p>
    <w:p w14:paraId="20BC8464" w14:textId="77777777" w:rsidR="005546EA" w:rsidRDefault="005546EA" w:rsidP="005546EA">
      <w:pPr>
        <w:spacing w:line="276" w:lineRule="auto"/>
        <w:jc w:val="both"/>
        <w:rPr>
          <w:rFonts w:ascii="ArialMT" w:hAnsi="ArialMT" w:cs="ArialMT"/>
          <w:sz w:val="22"/>
          <w:szCs w:val="22"/>
        </w:rPr>
      </w:pPr>
      <w:bookmarkStart w:id="1" w:name="_Toc243885270"/>
      <w:bookmarkStart w:id="2" w:name="_Toc303334038"/>
      <w:r>
        <w:rPr>
          <w:rFonts w:ascii="ArialMT" w:hAnsi="ArialMT" w:cs="ArialMT"/>
          <w:sz w:val="22"/>
          <w:szCs w:val="22"/>
        </w:rPr>
        <w:t>Las matemáticas se encuentran en cualquier actividad humana, desde el trabajo científico hasta las expresiones culturales y artísticas, y forman parte del acervo cultural de nuestra sociedad. El razonamiento, la argumentación, la modelización, el conocimiento del espacio y del tiempo, la toma de decisiones, la previsión y control de la incertidumbre o el uso correcto de la tecnología digital son características de las matemáticas, pero también la comunicación, la perseverancia, la organización y optimización de recursos, formas y proporciones o la creatividad. Así pues, resulta importante desarrollar en el alumnado las herramientas y destrezas matemáticas que le permitan desenvolverse satisfactoriamente tanto en contextos personales, académicos y científicos como sociales y laborales.</w:t>
      </w:r>
    </w:p>
    <w:p w14:paraId="1D67FC17" w14:textId="77777777" w:rsidR="003F4822" w:rsidRDefault="003F4822" w:rsidP="005546EA">
      <w:pPr>
        <w:spacing w:line="276" w:lineRule="auto"/>
        <w:jc w:val="both"/>
      </w:pPr>
    </w:p>
    <w:p w14:paraId="7B2FB615" w14:textId="77777777" w:rsidR="005546EA" w:rsidRDefault="005546EA" w:rsidP="005546EA">
      <w:pPr>
        <w:spacing w:line="276" w:lineRule="auto"/>
        <w:jc w:val="both"/>
        <w:rPr>
          <w:rFonts w:ascii="ArialMT" w:hAnsi="ArialMT" w:cs="ArialMT"/>
          <w:sz w:val="22"/>
          <w:szCs w:val="22"/>
        </w:rPr>
      </w:pPr>
      <w:r>
        <w:rPr>
          <w:rFonts w:ascii="ArialMT" w:hAnsi="ArialMT" w:cs="ArialMT"/>
          <w:sz w:val="22"/>
          <w:szCs w:val="22"/>
        </w:rPr>
        <w:tab/>
        <w:t>Los contenidos de la materia Matemáticas han sido agrupados en bloques. Esta estructura permite abordar los contenidos de una manera funcional, proporcionando la flexibilidad necesaria para establecer conexiones entre los mismos. Debe tenerse en cuenta que la organización de los contenidos en el currículo no implica ninguna temporalización ni orden cronológico en su tratamiento en el aula, aunque dentro de cada bloque de contenidos se sugiere, en la propia redacción del currículo, y a modo de orientación, un orden.</w:t>
      </w:r>
    </w:p>
    <w:p w14:paraId="5151F8F0" w14:textId="77777777" w:rsidR="003F4822" w:rsidRDefault="003F4822" w:rsidP="005546EA">
      <w:pPr>
        <w:spacing w:line="276" w:lineRule="auto"/>
        <w:jc w:val="both"/>
      </w:pPr>
    </w:p>
    <w:p w14:paraId="706947F3" w14:textId="77777777" w:rsidR="005546EA" w:rsidRDefault="005546EA" w:rsidP="005546EA">
      <w:pPr>
        <w:spacing w:line="276" w:lineRule="auto"/>
        <w:jc w:val="both"/>
        <w:rPr>
          <w:rFonts w:ascii="ArialMT" w:hAnsi="ArialMT" w:cs="ArialMT"/>
          <w:sz w:val="22"/>
          <w:szCs w:val="22"/>
        </w:rPr>
      </w:pPr>
      <w:r>
        <w:rPr>
          <w:rFonts w:ascii="ArialMT" w:hAnsi="ArialMT" w:cs="ArialMT"/>
          <w:sz w:val="22"/>
          <w:szCs w:val="22"/>
        </w:rPr>
        <w:tab/>
        <w:t>El bloque «</w:t>
      </w:r>
      <w:r>
        <w:rPr>
          <w:rFonts w:ascii="ArialMT" w:hAnsi="ArialMT" w:cs="ArialMT"/>
          <w:b/>
          <w:bCs/>
          <w:sz w:val="22"/>
          <w:szCs w:val="22"/>
        </w:rPr>
        <w:t>Números y operaciones</w:t>
      </w:r>
      <w:r>
        <w:rPr>
          <w:rFonts w:ascii="ArialMT" w:hAnsi="ArialMT" w:cs="ArialMT"/>
          <w:sz w:val="22"/>
          <w:szCs w:val="22"/>
        </w:rPr>
        <w:t xml:space="preserve">» se caracteriza por la aplicación del conocimiento sobre numeración y cálculo en distintos contextos, y por el desarrollo de habilidades y modos de pensar basados en la comprensión, la representación y el uso flexible de los números y las operaciones. A fin de reforzar estrategias de cálculo mental y destrezas para la resolución de problemas de lápiz y papel, se sugiere la introducción </w:t>
      </w:r>
      <w:r>
        <w:rPr>
          <w:rFonts w:ascii="ArialMT" w:hAnsi="ArialMT" w:cs="ArialMT"/>
          <w:sz w:val="22"/>
          <w:szCs w:val="22"/>
        </w:rPr>
        <w:lastRenderedPageBreak/>
        <w:t>de la calculadora a partir del tercer curso, y siempre de manera guiada y comprensiva. En atención al contexto en que se desarrolla el proceso de aprendizaje, el docente podrá tomar la decisión de emplearla antes, siempre y cuando considere que el alumnado ha adquirido destrezas de cálculo mental suficiente.</w:t>
      </w:r>
    </w:p>
    <w:p w14:paraId="237F5DF9" w14:textId="77777777" w:rsidR="003F4822" w:rsidRDefault="003F4822" w:rsidP="005546EA">
      <w:pPr>
        <w:spacing w:line="276" w:lineRule="auto"/>
        <w:jc w:val="both"/>
      </w:pPr>
    </w:p>
    <w:p w14:paraId="11FA2D17" w14:textId="77777777" w:rsidR="005546EA" w:rsidRDefault="005546EA" w:rsidP="005546EA">
      <w:pPr>
        <w:spacing w:line="276" w:lineRule="auto"/>
        <w:jc w:val="both"/>
        <w:rPr>
          <w:rFonts w:ascii="ArialMT" w:hAnsi="ArialMT" w:cs="ArialMT"/>
          <w:sz w:val="22"/>
          <w:szCs w:val="22"/>
        </w:rPr>
      </w:pPr>
      <w:r>
        <w:rPr>
          <w:rFonts w:ascii="ArialMT" w:hAnsi="ArialMT" w:cs="ArialMT"/>
          <w:sz w:val="22"/>
          <w:szCs w:val="22"/>
        </w:rPr>
        <w:tab/>
        <w:t>El bloque «</w:t>
      </w:r>
      <w:r>
        <w:rPr>
          <w:rFonts w:ascii="ArialMT" w:hAnsi="ArialMT" w:cs="ArialMT"/>
          <w:b/>
          <w:bCs/>
          <w:sz w:val="22"/>
          <w:szCs w:val="22"/>
        </w:rPr>
        <w:t>Medida y geometría</w:t>
      </w:r>
      <w:r>
        <w:rPr>
          <w:rFonts w:ascii="ArialMT" w:hAnsi="ArialMT" w:cs="ArialMT"/>
          <w:sz w:val="22"/>
          <w:szCs w:val="22"/>
        </w:rPr>
        <w:t xml:space="preserve">» se centra en la comprensión y comparación de atributos de los objetos del mundo natural. Entender y elegir las unidades adecuadas para estimar, medir y comparar magnitudes, utilizar los instrumentos adecuados para realizar mediciones, comparar objetos físicos y comprender las relaciones entre formas y medidas son los ejes centrales de este sentido. </w:t>
      </w:r>
    </w:p>
    <w:p w14:paraId="32C17B22" w14:textId="77777777" w:rsidR="003F4822" w:rsidRDefault="003F4822" w:rsidP="005546EA">
      <w:pPr>
        <w:spacing w:line="276" w:lineRule="auto"/>
        <w:jc w:val="both"/>
      </w:pPr>
    </w:p>
    <w:p w14:paraId="45A08FEA" w14:textId="77777777" w:rsidR="005546EA" w:rsidRDefault="005546EA" w:rsidP="005546EA">
      <w:pPr>
        <w:spacing w:line="276" w:lineRule="auto"/>
        <w:jc w:val="both"/>
        <w:rPr>
          <w:rFonts w:ascii="ArialMT" w:hAnsi="ArialMT" w:cs="ArialMT"/>
          <w:sz w:val="22"/>
          <w:szCs w:val="22"/>
        </w:rPr>
      </w:pPr>
      <w:r>
        <w:rPr>
          <w:rFonts w:ascii="ArialMT" w:hAnsi="ArialMT" w:cs="ArialMT"/>
          <w:sz w:val="22"/>
          <w:szCs w:val="22"/>
        </w:rPr>
        <w:tab/>
        <w:t>Asimismo, se introduce el concepto de probabilidad como medida de la incertidumbre. El bloque «</w:t>
      </w:r>
      <w:r>
        <w:rPr>
          <w:rFonts w:ascii="ArialMT" w:hAnsi="ArialMT" w:cs="ArialMT"/>
          <w:b/>
          <w:bCs/>
          <w:sz w:val="22"/>
          <w:szCs w:val="22"/>
        </w:rPr>
        <w:t>Geometría en el plano y el espacio</w:t>
      </w:r>
      <w:r>
        <w:rPr>
          <w:rFonts w:ascii="ArialMT" w:hAnsi="ArialMT" w:cs="ArialMT"/>
          <w:sz w:val="22"/>
          <w:szCs w:val="22"/>
        </w:rPr>
        <w:t xml:space="preserve">» aborda la comprensión de los aspectos geométricos de nuestro mundo. Registrar y representar formas y figuras, reconocer sus propiedades, identificar relaciones entre ellas, ubicarlas, describir sus movimientos, elaborar o descubrir imágenes de ellas, clasificarlas y razonar con ellas son elementos fundamentales de la enseñanza y aprendizaje de la geometría. </w:t>
      </w:r>
    </w:p>
    <w:p w14:paraId="125D198B" w14:textId="77777777" w:rsidR="003F4822" w:rsidRDefault="003F4822" w:rsidP="005546EA">
      <w:pPr>
        <w:spacing w:line="276" w:lineRule="auto"/>
        <w:jc w:val="both"/>
      </w:pPr>
    </w:p>
    <w:p w14:paraId="3BBDE591" w14:textId="77777777" w:rsidR="005546EA" w:rsidRDefault="005546EA" w:rsidP="005546EA">
      <w:pPr>
        <w:spacing w:line="276" w:lineRule="auto"/>
        <w:jc w:val="both"/>
        <w:rPr>
          <w:rFonts w:ascii="ArialMT" w:hAnsi="ArialMT" w:cs="ArialMT"/>
          <w:sz w:val="22"/>
          <w:szCs w:val="22"/>
        </w:rPr>
      </w:pPr>
      <w:r>
        <w:rPr>
          <w:rFonts w:ascii="ArialMT" w:hAnsi="ArialMT" w:cs="ArialMT"/>
          <w:sz w:val="22"/>
          <w:szCs w:val="22"/>
        </w:rPr>
        <w:tab/>
        <w:t>El bloque «</w:t>
      </w:r>
      <w:r>
        <w:rPr>
          <w:rFonts w:ascii="ArialMT" w:hAnsi="ArialMT" w:cs="ArialMT"/>
          <w:b/>
          <w:bCs/>
          <w:sz w:val="22"/>
          <w:szCs w:val="22"/>
        </w:rPr>
        <w:t>Álgebra</w:t>
      </w:r>
      <w:r>
        <w:rPr>
          <w:rFonts w:ascii="ArialMT" w:hAnsi="ArialMT" w:cs="ArialMT"/>
          <w:sz w:val="22"/>
          <w:szCs w:val="22"/>
        </w:rPr>
        <w:t xml:space="preserve">» proporciona el lenguaje en el que se comunican las matemáticas, reconociendo patrones y relaciones de dependencia entre variables y expresándolas mediante diferentes representaciones, así como la modelización de situaciones matemáticas o del mundo real con expresiones simbólicas. La formulación, representación y resolución de problemas a través de herramientas y conceptos propios de la informática son características del pensamiento computacional, que también se incorporan dentro de este bloque de contenidos. Por razones organizativas, en este bloque se han incorporado, entre otros, dos apartados denominados Pensamiento computacional y Modelo matemático, que no son exclusivos del álgebra y, por lo tanto, deben trabajarse de forma transversal a lo largo de todo el proceso de enseñanza de la materia. </w:t>
      </w:r>
    </w:p>
    <w:p w14:paraId="3F61FDD6" w14:textId="77777777" w:rsidR="003F4822" w:rsidRDefault="003F4822" w:rsidP="005546EA">
      <w:pPr>
        <w:spacing w:line="276" w:lineRule="auto"/>
        <w:jc w:val="both"/>
      </w:pPr>
    </w:p>
    <w:p w14:paraId="7F1CB22E" w14:textId="77777777" w:rsidR="005546EA" w:rsidRDefault="005546EA" w:rsidP="005546EA">
      <w:pPr>
        <w:spacing w:line="276" w:lineRule="auto"/>
        <w:jc w:val="both"/>
        <w:rPr>
          <w:rFonts w:ascii="ArialMT" w:hAnsi="ArialMT" w:cs="ArialMT"/>
          <w:sz w:val="22"/>
          <w:szCs w:val="22"/>
        </w:rPr>
      </w:pPr>
      <w:r>
        <w:rPr>
          <w:rFonts w:ascii="ArialMT" w:hAnsi="ArialMT" w:cs="ArialMT"/>
          <w:sz w:val="22"/>
          <w:szCs w:val="22"/>
        </w:rPr>
        <w:tab/>
        <w:t>El bloque «</w:t>
      </w:r>
      <w:r>
        <w:rPr>
          <w:rFonts w:ascii="ArialMT" w:hAnsi="ArialMT" w:cs="ArialMT"/>
          <w:b/>
          <w:bCs/>
          <w:sz w:val="22"/>
          <w:szCs w:val="22"/>
        </w:rPr>
        <w:t>Estadística</w:t>
      </w:r>
      <w:r>
        <w:rPr>
          <w:rFonts w:ascii="ArialMT" w:hAnsi="ArialMT" w:cs="ArialMT"/>
          <w:sz w:val="22"/>
          <w:szCs w:val="22"/>
        </w:rPr>
        <w:t xml:space="preserve">» comprende el análisis y la interpretación de datos, la elaboración de conjeturas y la toma de decisiones a partir de la información estadística, su valoración crítica y la comprensión y comunicación de fenómenos aleatorios en una amplia variedad de situaciones cotidianas. </w:t>
      </w:r>
    </w:p>
    <w:p w14:paraId="00EA4E04" w14:textId="77777777" w:rsidR="003F4822" w:rsidRDefault="003F4822" w:rsidP="005546EA">
      <w:pPr>
        <w:spacing w:line="276" w:lineRule="auto"/>
        <w:jc w:val="both"/>
      </w:pPr>
    </w:p>
    <w:p w14:paraId="0AEC8BFF" w14:textId="77777777" w:rsidR="005546EA" w:rsidRDefault="005546EA" w:rsidP="005546EA">
      <w:pPr>
        <w:spacing w:line="276" w:lineRule="auto"/>
        <w:jc w:val="both"/>
        <w:rPr>
          <w:rFonts w:ascii="ArialMT" w:hAnsi="ArialMT" w:cs="ArialMT"/>
          <w:sz w:val="22"/>
          <w:szCs w:val="22"/>
        </w:rPr>
      </w:pPr>
      <w:r>
        <w:rPr>
          <w:rFonts w:ascii="ArialMT" w:hAnsi="ArialMT" w:cs="ArialMT"/>
          <w:sz w:val="22"/>
          <w:szCs w:val="22"/>
        </w:rPr>
        <w:tab/>
        <w:t>El bloque «</w:t>
      </w:r>
      <w:r>
        <w:rPr>
          <w:rFonts w:ascii="ArialMT" w:hAnsi="ArialMT" w:cs="ArialMT"/>
          <w:b/>
          <w:bCs/>
          <w:sz w:val="22"/>
          <w:szCs w:val="22"/>
        </w:rPr>
        <w:t>Actitudes y aprendizaje</w:t>
      </w:r>
      <w:r>
        <w:rPr>
          <w:rFonts w:ascii="ArialMT" w:hAnsi="ArialMT" w:cs="ArialMT"/>
          <w:sz w:val="22"/>
          <w:szCs w:val="22"/>
        </w:rPr>
        <w:t xml:space="preserve">» integra conocimientos, destrezas y actitudes para entender y manejar las emociones, establecer y alcanzar metas, y aumentar la capacidad de tomar decisiones responsables e informadas, lo que se dirige a la mejora del rendimiento del alumnado en matemáticas, a la disminución de actitudes negativas hacia ellas, a la promoción de un aprendizaje activo y a la erradicación de ideas preconcebidas. Para lograr estos fines, se pueden desarrollar estrategias que fomenten el diálogo equitativo y las actividades no competitivas en el aula. Estos contenidos, dado su carácter transversal, se desarrollarán a lo largo de todo el currículo. </w:t>
      </w:r>
    </w:p>
    <w:p w14:paraId="4E3C11BC" w14:textId="77777777" w:rsidR="003F4822" w:rsidRDefault="003F4822" w:rsidP="005546EA">
      <w:pPr>
        <w:spacing w:line="276" w:lineRule="auto"/>
        <w:jc w:val="both"/>
        <w:rPr>
          <w:rFonts w:ascii="ArialMT" w:hAnsi="ArialMT" w:cs="ArialMT"/>
          <w:sz w:val="22"/>
          <w:szCs w:val="22"/>
        </w:rPr>
      </w:pPr>
    </w:p>
    <w:p w14:paraId="7764450D" w14:textId="77777777" w:rsidR="003F4822" w:rsidRDefault="003F4822" w:rsidP="005546EA">
      <w:pPr>
        <w:spacing w:line="276" w:lineRule="auto"/>
        <w:jc w:val="both"/>
        <w:rPr>
          <w:rFonts w:ascii="ArialMT" w:hAnsi="ArialMT" w:cs="ArialMT"/>
          <w:sz w:val="22"/>
          <w:szCs w:val="22"/>
        </w:rPr>
      </w:pPr>
    </w:p>
    <w:p w14:paraId="6D9EB6AD" w14:textId="77777777" w:rsidR="00DB5281" w:rsidRPr="00B2726D" w:rsidRDefault="00DB5281">
      <w:pPr>
        <w:pStyle w:val="Ttulo1"/>
        <w:rPr>
          <w:bCs w:val="0"/>
          <w:i/>
          <w:sz w:val="28"/>
          <w:szCs w:val="28"/>
        </w:rPr>
      </w:pPr>
      <w:bookmarkStart w:id="3" w:name="_Toc148106752"/>
      <w:r w:rsidRPr="00B2726D">
        <w:rPr>
          <w:bCs w:val="0"/>
          <w:i/>
          <w:sz w:val="28"/>
          <w:szCs w:val="28"/>
        </w:rPr>
        <w:lastRenderedPageBreak/>
        <w:t xml:space="preserve">2.- </w:t>
      </w:r>
      <w:r w:rsidRPr="00B2726D">
        <w:rPr>
          <w:bCs w:val="0"/>
          <w:i/>
          <w:iCs/>
          <w:sz w:val="28"/>
          <w:szCs w:val="28"/>
        </w:rPr>
        <w:t>Criterios de calificación</w:t>
      </w:r>
      <w:bookmarkEnd w:id="1"/>
      <w:bookmarkEnd w:id="2"/>
      <w:bookmarkEnd w:id="3"/>
    </w:p>
    <w:p w14:paraId="36646115" w14:textId="4D1F008D" w:rsidR="003F4822" w:rsidRPr="00B75FFA" w:rsidRDefault="00DB5281" w:rsidP="005546EA">
      <w:pPr>
        <w:rPr>
          <w:rFonts w:ascii="Arial" w:hAnsi="Arial" w:cs="Arial"/>
          <w:sz w:val="22"/>
          <w:szCs w:val="22"/>
        </w:rPr>
      </w:pPr>
      <w:r w:rsidRPr="00B2726D">
        <w:rPr>
          <w:rFonts w:ascii="Arial" w:hAnsi="Arial" w:cs="Arial"/>
          <w:sz w:val="22"/>
          <w:szCs w:val="22"/>
        </w:rPr>
        <w:tab/>
      </w:r>
    </w:p>
    <w:tbl>
      <w:tblPr>
        <w:tblW w:w="9394" w:type="dxa"/>
        <w:tblInd w:w="38" w:type="dxa"/>
        <w:tblLayout w:type="fixed"/>
        <w:tblCellMar>
          <w:top w:w="30" w:type="dxa"/>
          <w:left w:w="45" w:type="dxa"/>
          <w:bottom w:w="30" w:type="dxa"/>
          <w:right w:w="45" w:type="dxa"/>
        </w:tblCellMar>
        <w:tblLook w:val="04A0" w:firstRow="1" w:lastRow="0" w:firstColumn="1" w:lastColumn="0" w:noHBand="0" w:noVBand="1"/>
      </w:tblPr>
      <w:tblGrid>
        <w:gridCol w:w="3987"/>
        <w:gridCol w:w="258"/>
        <w:gridCol w:w="5149"/>
      </w:tblGrid>
      <w:tr w:rsidR="005546EA" w14:paraId="372F51DE" w14:textId="77777777" w:rsidTr="00041E1B">
        <w:trPr>
          <w:trHeight w:val="315"/>
        </w:trPr>
        <w:tc>
          <w:tcPr>
            <w:tcW w:w="3987" w:type="dxa"/>
            <w:tcBorders>
              <w:top w:val="single" w:sz="6" w:space="0" w:color="000000"/>
              <w:left w:val="single" w:sz="6" w:space="0" w:color="000000"/>
              <w:bottom w:val="single" w:sz="6" w:space="0" w:color="000000"/>
              <w:right w:val="single" w:sz="6" w:space="0" w:color="000000"/>
            </w:tcBorders>
            <w:shd w:val="clear" w:color="auto" w:fill="434343"/>
            <w:vAlign w:val="bottom"/>
          </w:tcPr>
          <w:p w14:paraId="27DB16C6" w14:textId="77777777" w:rsidR="005546EA" w:rsidRDefault="005546EA" w:rsidP="00041E1B">
            <w:pPr>
              <w:widowControl w:val="0"/>
              <w:jc w:val="center"/>
              <w:rPr>
                <w:rFonts w:ascii="Cambria" w:hAnsi="Cambria" w:cs="Arial"/>
                <w:b/>
                <w:bCs/>
                <w:color w:val="FFFFFF"/>
                <w:sz w:val="28"/>
                <w:szCs w:val="28"/>
              </w:rPr>
            </w:pPr>
            <w:r>
              <w:rPr>
                <w:rFonts w:ascii="Cambria" w:hAnsi="Cambria" w:cs="Arial"/>
                <w:b/>
                <w:bCs/>
                <w:color w:val="FFFFFF"/>
                <w:sz w:val="28"/>
                <w:szCs w:val="28"/>
              </w:rPr>
              <w:t>NO CONSEGUIDA (NC)</w:t>
            </w:r>
          </w:p>
        </w:tc>
        <w:tc>
          <w:tcPr>
            <w:tcW w:w="258" w:type="dxa"/>
            <w:tcBorders>
              <w:top w:val="single" w:sz="6" w:space="0" w:color="000000"/>
              <w:left w:val="single" w:sz="6" w:space="0" w:color="CCCCCC"/>
              <w:bottom w:val="single" w:sz="6" w:space="0" w:color="000000"/>
              <w:right w:val="single" w:sz="6" w:space="0" w:color="000000"/>
            </w:tcBorders>
            <w:shd w:val="clear" w:color="auto" w:fill="434343"/>
            <w:vAlign w:val="bottom"/>
          </w:tcPr>
          <w:p w14:paraId="1B05705D" w14:textId="77777777" w:rsidR="005546EA" w:rsidRDefault="005546EA" w:rsidP="00041E1B">
            <w:pPr>
              <w:widowControl w:val="0"/>
              <w:jc w:val="center"/>
              <w:rPr>
                <w:rFonts w:ascii="Cambria" w:hAnsi="Cambria" w:cs="Arial"/>
                <w:b/>
                <w:bCs/>
                <w:color w:val="FFFFFF"/>
                <w:sz w:val="28"/>
                <w:szCs w:val="28"/>
              </w:rPr>
            </w:pPr>
            <w:r>
              <w:rPr>
                <w:rFonts w:ascii="Cambria" w:hAnsi="Cambria" w:cs="Arial"/>
                <w:b/>
                <w:bCs/>
                <w:color w:val="FFFFFF"/>
                <w:sz w:val="28"/>
                <w:szCs w:val="28"/>
              </w:rPr>
              <w:t>0</w:t>
            </w:r>
          </w:p>
        </w:tc>
        <w:tc>
          <w:tcPr>
            <w:tcW w:w="5149" w:type="dxa"/>
            <w:vMerge w:val="restart"/>
            <w:tcBorders>
              <w:top w:val="single" w:sz="6" w:space="0" w:color="CCCCCC"/>
              <w:left w:val="single" w:sz="6" w:space="0" w:color="CCCCCC"/>
              <w:bottom w:val="single" w:sz="6" w:space="0" w:color="000000"/>
              <w:right w:val="single" w:sz="6" w:space="0" w:color="CCCCCC"/>
            </w:tcBorders>
            <w:shd w:val="clear" w:color="auto" w:fill="FF0000"/>
            <w:vAlign w:val="center"/>
          </w:tcPr>
          <w:p w14:paraId="3AB46FBC" w14:textId="77777777" w:rsidR="005546EA" w:rsidRDefault="005546EA" w:rsidP="00041E1B">
            <w:pPr>
              <w:widowControl w:val="0"/>
              <w:rPr>
                <w:rFonts w:ascii="Arial" w:hAnsi="Arial" w:cs="Arial"/>
                <w:b/>
                <w:bCs/>
                <w:color w:val="FFFFFF"/>
                <w:sz w:val="20"/>
                <w:szCs w:val="20"/>
              </w:rPr>
            </w:pPr>
            <w:r>
              <w:rPr>
                <w:rFonts w:ascii="Arial" w:hAnsi="Arial" w:cs="Arial"/>
                <w:b/>
                <w:bCs/>
                <w:color w:val="FFFFFF"/>
                <w:sz w:val="20"/>
                <w:szCs w:val="20"/>
              </w:rPr>
              <w:t>CODIFICACIÓN DEL GRADO DE CONSECUCIÓN DE LA COMPETENCIA</w:t>
            </w:r>
          </w:p>
        </w:tc>
      </w:tr>
      <w:tr w:rsidR="005546EA" w14:paraId="35C78E7B" w14:textId="77777777" w:rsidTr="00041E1B">
        <w:trPr>
          <w:trHeight w:val="315"/>
        </w:trPr>
        <w:tc>
          <w:tcPr>
            <w:tcW w:w="3987" w:type="dxa"/>
            <w:tcBorders>
              <w:top w:val="single" w:sz="6" w:space="0" w:color="CCCCCC"/>
              <w:left w:val="single" w:sz="6" w:space="0" w:color="000000"/>
              <w:bottom w:val="single" w:sz="6" w:space="0" w:color="000000"/>
              <w:right w:val="single" w:sz="6" w:space="0" w:color="000000"/>
            </w:tcBorders>
            <w:shd w:val="clear" w:color="auto" w:fill="B7B7B7"/>
            <w:vAlign w:val="bottom"/>
          </w:tcPr>
          <w:p w14:paraId="2D6491EF" w14:textId="77777777" w:rsidR="005546EA" w:rsidRDefault="005546EA" w:rsidP="00041E1B">
            <w:pPr>
              <w:widowControl w:val="0"/>
              <w:jc w:val="center"/>
              <w:rPr>
                <w:rFonts w:ascii="Cambria" w:hAnsi="Cambria" w:cs="Arial"/>
                <w:b/>
                <w:bCs/>
                <w:color w:val="FFFFFF"/>
                <w:sz w:val="28"/>
                <w:szCs w:val="28"/>
              </w:rPr>
            </w:pPr>
            <w:r>
              <w:rPr>
                <w:rFonts w:ascii="Cambria" w:hAnsi="Cambria" w:cs="Arial"/>
                <w:b/>
                <w:bCs/>
                <w:color w:val="FFFFFF"/>
                <w:sz w:val="28"/>
                <w:szCs w:val="28"/>
              </w:rPr>
              <w:t>GRADO DE CONSECUCIÓN BAJO (BC)</w:t>
            </w:r>
          </w:p>
        </w:tc>
        <w:tc>
          <w:tcPr>
            <w:tcW w:w="258" w:type="dxa"/>
            <w:tcBorders>
              <w:top w:val="single" w:sz="6" w:space="0" w:color="CCCCCC"/>
              <w:left w:val="single" w:sz="6" w:space="0" w:color="CCCCCC"/>
              <w:bottom w:val="single" w:sz="6" w:space="0" w:color="000000"/>
              <w:right w:val="single" w:sz="6" w:space="0" w:color="000000"/>
            </w:tcBorders>
            <w:shd w:val="clear" w:color="auto" w:fill="B7B7B7"/>
            <w:vAlign w:val="bottom"/>
          </w:tcPr>
          <w:p w14:paraId="063F40F7" w14:textId="77777777" w:rsidR="005546EA" w:rsidRDefault="005546EA" w:rsidP="00041E1B">
            <w:pPr>
              <w:widowControl w:val="0"/>
              <w:jc w:val="center"/>
              <w:rPr>
                <w:rFonts w:ascii="Cambria" w:hAnsi="Cambria" w:cs="Arial"/>
                <w:b/>
                <w:bCs/>
                <w:color w:val="FFFFFF"/>
                <w:sz w:val="28"/>
                <w:szCs w:val="28"/>
              </w:rPr>
            </w:pPr>
            <w:r>
              <w:rPr>
                <w:rFonts w:ascii="Cambria" w:hAnsi="Cambria" w:cs="Arial"/>
                <w:b/>
                <w:bCs/>
                <w:color w:val="FFFFFF"/>
                <w:sz w:val="28"/>
                <w:szCs w:val="28"/>
              </w:rPr>
              <w:t>1</w:t>
            </w:r>
          </w:p>
        </w:tc>
        <w:tc>
          <w:tcPr>
            <w:tcW w:w="5149" w:type="dxa"/>
            <w:vMerge/>
            <w:tcBorders>
              <w:top w:val="single" w:sz="6" w:space="0" w:color="CCCCCC"/>
              <w:left w:val="single" w:sz="6" w:space="0" w:color="CCCCCC"/>
              <w:bottom w:val="single" w:sz="6" w:space="0" w:color="000000"/>
              <w:right w:val="single" w:sz="6" w:space="0" w:color="000000"/>
            </w:tcBorders>
            <w:tcMar>
              <w:top w:w="0" w:type="dxa"/>
              <w:left w:w="7" w:type="dxa"/>
              <w:bottom w:w="0" w:type="dxa"/>
              <w:right w:w="7" w:type="dxa"/>
            </w:tcMar>
            <w:vAlign w:val="center"/>
          </w:tcPr>
          <w:p w14:paraId="43ABED9E" w14:textId="77777777" w:rsidR="005546EA" w:rsidRDefault="005546EA" w:rsidP="00041E1B">
            <w:pPr>
              <w:widowControl w:val="0"/>
              <w:rPr>
                <w:rFonts w:ascii="Arial" w:hAnsi="Arial" w:cs="Arial"/>
                <w:b/>
                <w:bCs/>
                <w:color w:val="FFFFFF"/>
                <w:sz w:val="20"/>
                <w:szCs w:val="20"/>
              </w:rPr>
            </w:pPr>
          </w:p>
        </w:tc>
      </w:tr>
      <w:tr w:rsidR="005546EA" w14:paraId="14FF490D" w14:textId="77777777" w:rsidTr="00041E1B">
        <w:trPr>
          <w:trHeight w:val="315"/>
        </w:trPr>
        <w:tc>
          <w:tcPr>
            <w:tcW w:w="3987" w:type="dxa"/>
            <w:tcBorders>
              <w:top w:val="single" w:sz="6" w:space="0" w:color="CCCCCC"/>
              <w:left w:val="single" w:sz="6" w:space="0" w:color="000000"/>
              <w:bottom w:val="single" w:sz="6" w:space="0" w:color="000000"/>
              <w:right w:val="single" w:sz="6" w:space="0" w:color="000000"/>
            </w:tcBorders>
            <w:shd w:val="clear" w:color="auto" w:fill="EFEFEF"/>
            <w:vAlign w:val="bottom"/>
          </w:tcPr>
          <w:p w14:paraId="43B1D47B" w14:textId="77777777" w:rsidR="005546EA" w:rsidRDefault="005546EA" w:rsidP="00041E1B">
            <w:pPr>
              <w:widowControl w:val="0"/>
              <w:jc w:val="center"/>
              <w:rPr>
                <w:rFonts w:ascii="Cambria" w:hAnsi="Cambria" w:cs="Arial"/>
                <w:b/>
                <w:bCs/>
                <w:sz w:val="28"/>
                <w:szCs w:val="28"/>
              </w:rPr>
            </w:pPr>
            <w:r>
              <w:rPr>
                <w:rFonts w:ascii="Cambria" w:hAnsi="Cambria" w:cs="Arial"/>
                <w:b/>
                <w:bCs/>
                <w:sz w:val="28"/>
                <w:szCs w:val="28"/>
              </w:rPr>
              <w:t>GRADO DE CONSECUCIÓN MEDIO (MC)</w:t>
            </w:r>
          </w:p>
        </w:tc>
        <w:tc>
          <w:tcPr>
            <w:tcW w:w="258" w:type="dxa"/>
            <w:tcBorders>
              <w:top w:val="single" w:sz="6" w:space="0" w:color="CCCCCC"/>
              <w:left w:val="single" w:sz="6" w:space="0" w:color="CCCCCC"/>
              <w:bottom w:val="single" w:sz="6" w:space="0" w:color="000000"/>
              <w:right w:val="single" w:sz="6" w:space="0" w:color="000000"/>
            </w:tcBorders>
            <w:shd w:val="clear" w:color="auto" w:fill="EFEFEF"/>
            <w:vAlign w:val="bottom"/>
          </w:tcPr>
          <w:p w14:paraId="18315DAF" w14:textId="77777777" w:rsidR="005546EA" w:rsidRDefault="005546EA" w:rsidP="00041E1B">
            <w:pPr>
              <w:widowControl w:val="0"/>
              <w:jc w:val="center"/>
              <w:rPr>
                <w:rFonts w:ascii="Cambria" w:hAnsi="Cambria" w:cs="Arial"/>
                <w:b/>
                <w:bCs/>
                <w:sz w:val="28"/>
                <w:szCs w:val="28"/>
              </w:rPr>
            </w:pPr>
            <w:r>
              <w:rPr>
                <w:rFonts w:ascii="Cambria" w:hAnsi="Cambria" w:cs="Arial"/>
                <w:b/>
                <w:bCs/>
                <w:sz w:val="28"/>
                <w:szCs w:val="28"/>
              </w:rPr>
              <w:t>2</w:t>
            </w:r>
          </w:p>
        </w:tc>
        <w:tc>
          <w:tcPr>
            <w:tcW w:w="5149" w:type="dxa"/>
            <w:vMerge/>
            <w:tcBorders>
              <w:top w:val="single" w:sz="6" w:space="0" w:color="CCCCCC"/>
              <w:left w:val="single" w:sz="6" w:space="0" w:color="CCCCCC"/>
              <w:bottom w:val="single" w:sz="6" w:space="0" w:color="000000"/>
              <w:right w:val="single" w:sz="6" w:space="0" w:color="000000"/>
            </w:tcBorders>
            <w:tcMar>
              <w:top w:w="0" w:type="dxa"/>
              <w:left w:w="7" w:type="dxa"/>
              <w:bottom w:w="0" w:type="dxa"/>
              <w:right w:w="7" w:type="dxa"/>
            </w:tcMar>
            <w:vAlign w:val="center"/>
          </w:tcPr>
          <w:p w14:paraId="38E3C4BD" w14:textId="77777777" w:rsidR="005546EA" w:rsidRDefault="005546EA" w:rsidP="00041E1B">
            <w:pPr>
              <w:widowControl w:val="0"/>
              <w:rPr>
                <w:rFonts w:ascii="Arial" w:hAnsi="Arial" w:cs="Arial"/>
                <w:b/>
                <w:bCs/>
                <w:color w:val="FFFFFF"/>
                <w:sz w:val="20"/>
                <w:szCs w:val="20"/>
              </w:rPr>
            </w:pPr>
          </w:p>
        </w:tc>
      </w:tr>
      <w:tr w:rsidR="005546EA" w14:paraId="39FE44B4" w14:textId="77777777" w:rsidTr="00041E1B">
        <w:trPr>
          <w:trHeight w:val="315"/>
        </w:trPr>
        <w:tc>
          <w:tcPr>
            <w:tcW w:w="3987"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20A228A7" w14:textId="77777777" w:rsidR="005546EA" w:rsidRDefault="005546EA" w:rsidP="00041E1B">
            <w:pPr>
              <w:widowControl w:val="0"/>
              <w:jc w:val="center"/>
              <w:rPr>
                <w:rFonts w:ascii="Cambria" w:hAnsi="Cambria" w:cs="Arial"/>
                <w:b/>
                <w:bCs/>
                <w:sz w:val="28"/>
                <w:szCs w:val="28"/>
              </w:rPr>
            </w:pPr>
            <w:r>
              <w:rPr>
                <w:rFonts w:ascii="Cambria" w:hAnsi="Cambria" w:cs="Arial"/>
                <w:b/>
                <w:bCs/>
                <w:sz w:val="28"/>
                <w:szCs w:val="28"/>
              </w:rPr>
              <w:t>GRADO DE CONSECUCIÓN ALTO (AC)</w:t>
            </w:r>
          </w:p>
        </w:tc>
        <w:tc>
          <w:tcPr>
            <w:tcW w:w="258" w:type="dxa"/>
            <w:tcBorders>
              <w:top w:val="single" w:sz="6" w:space="0" w:color="CCCCCC"/>
              <w:left w:val="single" w:sz="6" w:space="0" w:color="CCCCCC"/>
              <w:bottom w:val="single" w:sz="6" w:space="0" w:color="000000"/>
              <w:right w:val="single" w:sz="6" w:space="0" w:color="000000"/>
            </w:tcBorders>
            <w:shd w:val="clear" w:color="auto" w:fill="FFFFFF"/>
            <w:vAlign w:val="bottom"/>
          </w:tcPr>
          <w:p w14:paraId="07FE599A" w14:textId="77777777" w:rsidR="005546EA" w:rsidRDefault="005546EA" w:rsidP="00041E1B">
            <w:pPr>
              <w:widowControl w:val="0"/>
              <w:jc w:val="center"/>
              <w:rPr>
                <w:rFonts w:ascii="Cambria" w:hAnsi="Cambria" w:cs="Arial"/>
                <w:b/>
                <w:bCs/>
                <w:sz w:val="28"/>
                <w:szCs w:val="28"/>
              </w:rPr>
            </w:pPr>
            <w:r>
              <w:rPr>
                <w:rFonts w:ascii="Cambria" w:hAnsi="Cambria" w:cs="Arial"/>
                <w:b/>
                <w:bCs/>
                <w:sz w:val="28"/>
                <w:szCs w:val="28"/>
              </w:rPr>
              <w:t>3</w:t>
            </w:r>
          </w:p>
        </w:tc>
        <w:tc>
          <w:tcPr>
            <w:tcW w:w="5149" w:type="dxa"/>
            <w:vMerge/>
            <w:tcBorders>
              <w:top w:val="single" w:sz="6" w:space="0" w:color="CCCCCC"/>
              <w:left w:val="single" w:sz="6" w:space="0" w:color="CCCCCC"/>
              <w:bottom w:val="single" w:sz="6" w:space="0" w:color="000000"/>
              <w:right w:val="single" w:sz="6" w:space="0" w:color="000000"/>
            </w:tcBorders>
            <w:tcMar>
              <w:top w:w="0" w:type="dxa"/>
              <w:left w:w="7" w:type="dxa"/>
              <w:bottom w:w="0" w:type="dxa"/>
              <w:right w:w="7" w:type="dxa"/>
            </w:tcMar>
            <w:vAlign w:val="center"/>
          </w:tcPr>
          <w:p w14:paraId="43C00EA2" w14:textId="77777777" w:rsidR="005546EA" w:rsidRDefault="005546EA" w:rsidP="00041E1B">
            <w:pPr>
              <w:widowControl w:val="0"/>
              <w:rPr>
                <w:rFonts w:ascii="Arial" w:hAnsi="Arial" w:cs="Arial"/>
                <w:b/>
                <w:bCs/>
                <w:color w:val="FFFFFF"/>
                <w:sz w:val="20"/>
                <w:szCs w:val="20"/>
              </w:rPr>
            </w:pPr>
          </w:p>
        </w:tc>
      </w:tr>
    </w:tbl>
    <w:p w14:paraId="3EF1C455" w14:textId="77777777" w:rsidR="00556555" w:rsidRDefault="00556555" w:rsidP="005565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Ninguno"/>
        </w:rPr>
      </w:pPr>
      <w:r>
        <w:rPr>
          <w:rStyle w:val="Ninguno"/>
        </w:rPr>
        <w:t xml:space="preserve">Para calcular la </w:t>
      </w:r>
      <w:r>
        <w:rPr>
          <w:rStyle w:val="Ninguno"/>
          <w:b/>
          <w:bCs/>
        </w:rPr>
        <w:t>calificación</w:t>
      </w:r>
      <w:r>
        <w:rPr>
          <w:rStyle w:val="Ninguno"/>
        </w:rPr>
        <w:t xml:space="preserve"> de cada alumno en las distintas </w:t>
      </w:r>
      <w:r>
        <w:rPr>
          <w:rStyle w:val="Ninguno"/>
          <w:b/>
          <w:bCs/>
        </w:rPr>
        <w:t>evaluaciones</w:t>
      </w:r>
      <w:r>
        <w:rPr>
          <w:rStyle w:val="Ninguno"/>
        </w:rPr>
        <w:t xml:space="preserve"> se tendrá en cuenta la nota de las competencias clave descritas en el punto 3 de esta programación y el porcentaje de nota que aporta cada competencia a la calificación de cada evaluación. En cada evaluación se desarrollarán distintas actividades y procesos (explicadas en la tabla in</w:t>
      </w:r>
      <w:r>
        <w:rPr>
          <w:rStyle w:val="Ninguno"/>
        </w:rPr>
        <w:softHyphen/>
        <w:t>ferior) que servirán de instrumento para evaluar estas competencias clave. Además, a cada competencia se le asignará un grado de consecución (entre 0 y 3) según la nota obtenida en dicha competencia tal y como aparece descrito a continuación:</w:t>
      </w:r>
    </w:p>
    <w:p w14:paraId="672A5066" w14:textId="77777777" w:rsidR="00556555" w:rsidRDefault="00556555" w:rsidP="005565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Ninguno"/>
        </w:rPr>
      </w:pPr>
      <w:r>
        <w:rPr>
          <w:rStyle w:val="Ninguno"/>
        </w:rPr>
        <w:t>Actividades y Procesos para evaluar:</w:t>
      </w:r>
    </w:p>
    <w:p w14:paraId="5D5B4AA5" w14:textId="77777777" w:rsidR="00556555" w:rsidRDefault="00556555" w:rsidP="005565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Ninguno"/>
        </w:rPr>
      </w:pPr>
      <w:r w:rsidRPr="000D0085">
        <w:rPr>
          <w:rStyle w:val="Ninguno"/>
          <w:b/>
          <w:bCs/>
        </w:rPr>
        <w:t>EXÁMENES</w:t>
      </w:r>
      <w:r>
        <w:rPr>
          <w:rStyle w:val="Ninguno"/>
        </w:rPr>
        <w:t>:</w:t>
      </w:r>
    </w:p>
    <w:p w14:paraId="124B83DF" w14:textId="77777777" w:rsidR="00556555" w:rsidRDefault="00556555" w:rsidP="005565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Ninguno"/>
        </w:rPr>
      </w:pPr>
      <w:r>
        <w:rPr>
          <w:rStyle w:val="Ninguno"/>
        </w:rPr>
        <w:t>Se calculará la nota ponderada entre los dos exámenes del trimestre. Un primer parcial con un 40% de porcentaje y un global con un porcentaje del 60%. El resultado de la nota ponderada será el 70% de la evaluación.</w:t>
      </w:r>
    </w:p>
    <w:p w14:paraId="760EB303" w14:textId="77777777" w:rsidR="00556555" w:rsidRPr="00C0696F" w:rsidRDefault="00556555" w:rsidP="005565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Ninguno"/>
          <w:b/>
          <w:bCs/>
        </w:rPr>
      </w:pPr>
      <w:r w:rsidRPr="00C0696F">
        <w:rPr>
          <w:rStyle w:val="Ninguno"/>
          <w:b/>
          <w:bCs/>
        </w:rPr>
        <w:t>DEBERES Y TRABAJO DIARIO:</w:t>
      </w:r>
    </w:p>
    <w:p w14:paraId="2CF6725A" w14:textId="77777777" w:rsidR="00556555" w:rsidRDefault="00556555" w:rsidP="005565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Ninguno"/>
        </w:rPr>
      </w:pPr>
      <w:r>
        <w:rPr>
          <w:rStyle w:val="Ninguno"/>
        </w:rPr>
        <w:t>Se realizará un seguimiento de los deberes y tareas diaria. La nota de los deberes será el 10% de la evaluación.</w:t>
      </w:r>
    </w:p>
    <w:p w14:paraId="27066B77" w14:textId="77777777" w:rsidR="00556555" w:rsidRPr="00C0696F" w:rsidRDefault="00556555" w:rsidP="005565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Ninguno"/>
          <w:b/>
          <w:bCs/>
        </w:rPr>
      </w:pPr>
      <w:r w:rsidRPr="00C0696F">
        <w:rPr>
          <w:rStyle w:val="Ninguno"/>
          <w:b/>
          <w:bCs/>
        </w:rPr>
        <w:t>CUADERNO:</w:t>
      </w:r>
    </w:p>
    <w:p w14:paraId="3C557605" w14:textId="62457D7B" w:rsidR="00556555" w:rsidRDefault="00556555" w:rsidP="005565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Ninguno"/>
        </w:rPr>
      </w:pPr>
      <w:r>
        <w:rPr>
          <w:rStyle w:val="Ninguno"/>
        </w:rPr>
        <w:t xml:space="preserve">Se realizará un seguimiento del cuaderno de clase. La nota ponderará un </w:t>
      </w:r>
      <w:r w:rsidR="007E3C58">
        <w:rPr>
          <w:rStyle w:val="Ninguno"/>
        </w:rPr>
        <w:t>10</w:t>
      </w:r>
      <w:r>
        <w:rPr>
          <w:rStyle w:val="Ninguno"/>
        </w:rPr>
        <w:t>% de la evaluación.</w:t>
      </w:r>
    </w:p>
    <w:p w14:paraId="359D63BA" w14:textId="77777777" w:rsidR="00556555" w:rsidRPr="00C0696F" w:rsidRDefault="00556555" w:rsidP="005565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Ninguno"/>
          <w:b/>
          <w:bCs/>
        </w:rPr>
      </w:pPr>
      <w:r w:rsidRPr="00C0696F">
        <w:rPr>
          <w:rStyle w:val="Ninguno"/>
          <w:b/>
          <w:bCs/>
        </w:rPr>
        <w:t>VARIABLE:</w:t>
      </w:r>
    </w:p>
    <w:p w14:paraId="28FC80DE" w14:textId="4B094D8F" w:rsidR="00556555" w:rsidRPr="00B75FFA" w:rsidRDefault="00556555" w:rsidP="005565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Pr>
          <w:rStyle w:val="Ninguno"/>
        </w:rPr>
        <w:t>El 5% restante de la nota de evaluación se aplicará a criterio de cada uno de los profesores en función de los trabajos que se realicen en cada aula</w:t>
      </w:r>
      <w:r w:rsidR="007E3C58">
        <w:rPr>
          <w:rStyle w:val="Ninguno"/>
        </w:rPr>
        <w:t xml:space="preserve">, y las notas obtenidas en los </w:t>
      </w:r>
      <w:proofErr w:type="spellStart"/>
      <w:r w:rsidR="007E3C58">
        <w:rPr>
          <w:rStyle w:val="Ninguno"/>
        </w:rPr>
        <w:t>kahoots</w:t>
      </w:r>
      <w:proofErr w:type="spellEnd"/>
      <w:r w:rsidR="007E3C58">
        <w:rPr>
          <w:rStyle w:val="Ninguno"/>
        </w:rPr>
        <w:t>, cuestionarios de Google y la aplicación Smartick, si finalmente se contrata.</w:t>
      </w:r>
      <w:r>
        <w:rPr>
          <w:rStyle w:val="Ninguno"/>
        </w:rPr>
        <w:t xml:space="preserve">  </w:t>
      </w:r>
    </w:p>
    <w:p w14:paraId="79E87C04" w14:textId="77777777" w:rsidR="00556555" w:rsidRDefault="00556555" w:rsidP="00556555">
      <w:pPr>
        <w:rPr>
          <w:sz w:val="22"/>
          <w:szCs w:val="22"/>
        </w:rPr>
      </w:pPr>
    </w:p>
    <w:tbl>
      <w:tblPr>
        <w:tblStyle w:val="Tablaconcuadrcula"/>
        <w:tblW w:w="9520" w:type="dxa"/>
        <w:tblLayout w:type="fixed"/>
        <w:tblLook w:val="04A0" w:firstRow="1" w:lastRow="0" w:firstColumn="1" w:lastColumn="0" w:noHBand="0" w:noVBand="1"/>
      </w:tblPr>
      <w:tblGrid>
        <w:gridCol w:w="1811"/>
        <w:gridCol w:w="2441"/>
        <w:gridCol w:w="5268"/>
      </w:tblGrid>
      <w:tr w:rsidR="00556555" w14:paraId="78ABD3CA" w14:textId="77777777" w:rsidTr="00A41226">
        <w:tc>
          <w:tcPr>
            <w:tcW w:w="1811" w:type="dxa"/>
          </w:tcPr>
          <w:p w14:paraId="66EAAE92" w14:textId="77777777" w:rsidR="00556555" w:rsidRDefault="00556555" w:rsidP="00A41226">
            <w:pPr>
              <w:widowControl w:val="0"/>
              <w:rPr>
                <w:b/>
                <w:bCs/>
              </w:rPr>
            </w:pPr>
            <w:r>
              <w:rPr>
                <w:b/>
                <w:bCs/>
                <w:sz w:val="20"/>
              </w:rPr>
              <w:t>COMPETENCIA</w:t>
            </w:r>
          </w:p>
        </w:tc>
        <w:tc>
          <w:tcPr>
            <w:tcW w:w="2441" w:type="dxa"/>
          </w:tcPr>
          <w:p w14:paraId="54380076" w14:textId="77777777" w:rsidR="00556555" w:rsidRDefault="00556555" w:rsidP="00A41226">
            <w:pPr>
              <w:widowControl w:val="0"/>
              <w:rPr>
                <w:b/>
                <w:bCs/>
              </w:rPr>
            </w:pPr>
            <w:r>
              <w:rPr>
                <w:b/>
                <w:bCs/>
                <w:sz w:val="20"/>
              </w:rPr>
              <w:t>DÓNDE SE MIDE</w:t>
            </w:r>
          </w:p>
        </w:tc>
        <w:tc>
          <w:tcPr>
            <w:tcW w:w="5268" w:type="dxa"/>
          </w:tcPr>
          <w:p w14:paraId="03769E84" w14:textId="77777777" w:rsidR="00556555" w:rsidRDefault="00556555" w:rsidP="00A41226">
            <w:pPr>
              <w:widowControl w:val="0"/>
              <w:rPr>
                <w:b/>
                <w:bCs/>
              </w:rPr>
            </w:pPr>
            <w:r>
              <w:rPr>
                <w:b/>
                <w:bCs/>
                <w:sz w:val="20"/>
              </w:rPr>
              <w:t>CÁLCULO DEL GRADO DE CONSECUCIÓN</w:t>
            </w:r>
          </w:p>
        </w:tc>
      </w:tr>
      <w:tr w:rsidR="00556555" w14:paraId="52BD89F8" w14:textId="77777777" w:rsidTr="00A41226">
        <w:tc>
          <w:tcPr>
            <w:tcW w:w="1811" w:type="dxa"/>
          </w:tcPr>
          <w:p w14:paraId="72E8E22B" w14:textId="77777777" w:rsidR="00556555" w:rsidRDefault="00556555" w:rsidP="00A41226">
            <w:pPr>
              <w:widowControl w:val="0"/>
              <w:rPr>
                <w:sz w:val="22"/>
                <w:szCs w:val="22"/>
              </w:rPr>
            </w:pPr>
            <w:r>
              <w:rPr>
                <w:sz w:val="20"/>
              </w:rPr>
              <w:t>STEM</w:t>
            </w:r>
            <w:r>
              <w:rPr>
                <w:sz w:val="22"/>
                <w:szCs w:val="22"/>
              </w:rPr>
              <w:t xml:space="preserve"> (70%)</w:t>
            </w:r>
          </w:p>
        </w:tc>
        <w:tc>
          <w:tcPr>
            <w:tcW w:w="2441" w:type="dxa"/>
          </w:tcPr>
          <w:p w14:paraId="6B397A23" w14:textId="77777777" w:rsidR="00556555" w:rsidRDefault="00556555" w:rsidP="00A41226">
            <w:pPr>
              <w:widowControl w:val="0"/>
              <w:rPr>
                <w:sz w:val="20"/>
                <w:szCs w:val="20"/>
              </w:rPr>
            </w:pPr>
            <w:r>
              <w:rPr>
                <w:sz w:val="20"/>
                <w:szCs w:val="20"/>
              </w:rPr>
              <w:t xml:space="preserve">EXÁMENES: </w:t>
            </w:r>
          </w:p>
          <w:p w14:paraId="170F8DEC" w14:textId="77777777" w:rsidR="00556555" w:rsidRDefault="00556555" w:rsidP="00A41226">
            <w:pPr>
              <w:widowControl w:val="0"/>
              <w:rPr>
                <w:sz w:val="20"/>
                <w:szCs w:val="20"/>
              </w:rPr>
            </w:pPr>
            <w:r>
              <w:rPr>
                <w:sz w:val="20"/>
                <w:szCs w:val="20"/>
              </w:rPr>
              <w:t>65%</w:t>
            </w:r>
          </w:p>
          <w:p w14:paraId="4AC45E4A" w14:textId="77777777" w:rsidR="00556555" w:rsidRDefault="00556555" w:rsidP="00A41226">
            <w:pPr>
              <w:widowControl w:val="0"/>
              <w:tabs>
                <w:tab w:val="left" w:pos="1693"/>
              </w:tabs>
              <w:rPr>
                <w:sz w:val="20"/>
                <w:szCs w:val="20"/>
              </w:rPr>
            </w:pPr>
            <w:r>
              <w:rPr>
                <w:sz w:val="20"/>
                <w:szCs w:val="20"/>
              </w:rPr>
              <w:t>SMARTICK: EN EL APARTADO EFECTIVIDAD: 5%</w:t>
            </w:r>
          </w:p>
        </w:tc>
        <w:tc>
          <w:tcPr>
            <w:tcW w:w="5268" w:type="dxa"/>
          </w:tcPr>
          <w:p w14:paraId="6A6228A1" w14:textId="296C05F2" w:rsidR="00556555" w:rsidRDefault="00556555" w:rsidP="00A41226">
            <w:pPr>
              <w:widowControl w:val="0"/>
              <w:jc w:val="both"/>
              <w:rPr>
                <w:sz w:val="22"/>
                <w:szCs w:val="22"/>
              </w:rPr>
            </w:pPr>
            <w:r>
              <w:rPr>
                <w:sz w:val="20"/>
              </w:rPr>
              <w:t>Si la nota está entre 0 y 4, se asigna un 0 a la competencia; si está entre 4 y 6, se le asigna un 1; si está entre 6 y 8, se le asigna un 2; y si está entre 8 y 10, se le asigna un 3.</w:t>
            </w:r>
          </w:p>
        </w:tc>
      </w:tr>
      <w:tr w:rsidR="00556555" w14:paraId="6A219233" w14:textId="77777777" w:rsidTr="00A41226">
        <w:tc>
          <w:tcPr>
            <w:tcW w:w="1811" w:type="dxa"/>
          </w:tcPr>
          <w:p w14:paraId="4C62D4FF" w14:textId="77777777" w:rsidR="00556555" w:rsidRDefault="00556555" w:rsidP="00A41226">
            <w:pPr>
              <w:widowControl w:val="0"/>
              <w:rPr>
                <w:sz w:val="22"/>
                <w:szCs w:val="22"/>
              </w:rPr>
            </w:pPr>
            <w:r>
              <w:rPr>
                <w:sz w:val="20"/>
              </w:rPr>
              <w:t>CCL</w:t>
            </w:r>
            <w:r>
              <w:rPr>
                <w:sz w:val="22"/>
                <w:szCs w:val="22"/>
              </w:rPr>
              <w:t xml:space="preserve"> (15%)</w:t>
            </w:r>
          </w:p>
        </w:tc>
        <w:tc>
          <w:tcPr>
            <w:tcW w:w="2441" w:type="dxa"/>
          </w:tcPr>
          <w:p w14:paraId="069215AE" w14:textId="77777777" w:rsidR="00556555" w:rsidRDefault="00556555" w:rsidP="00A41226">
            <w:pPr>
              <w:widowControl w:val="0"/>
              <w:rPr>
                <w:sz w:val="22"/>
                <w:szCs w:val="22"/>
              </w:rPr>
            </w:pPr>
            <w:r>
              <w:rPr>
                <w:sz w:val="20"/>
              </w:rPr>
              <w:t>RESOLUCIÓN DE PROBLEMAS EN EXÁMENES: 5%</w:t>
            </w:r>
          </w:p>
          <w:p w14:paraId="2D565BED" w14:textId="77777777" w:rsidR="00556555" w:rsidRDefault="00556555" w:rsidP="00A41226">
            <w:pPr>
              <w:widowControl w:val="0"/>
              <w:rPr>
                <w:sz w:val="22"/>
                <w:szCs w:val="22"/>
              </w:rPr>
            </w:pPr>
            <w:r>
              <w:rPr>
                <w:sz w:val="20"/>
              </w:rPr>
              <w:t>PREGUNTAS ORALES EN CLASE: 5%</w:t>
            </w:r>
          </w:p>
          <w:p w14:paraId="651150E9" w14:textId="77777777" w:rsidR="00556555" w:rsidRDefault="00556555" w:rsidP="00A41226">
            <w:pPr>
              <w:widowControl w:val="0"/>
              <w:rPr>
                <w:sz w:val="20"/>
              </w:rPr>
            </w:pPr>
            <w:r>
              <w:rPr>
                <w:sz w:val="20"/>
              </w:rPr>
              <w:t>CUADERNO: 5%</w:t>
            </w:r>
          </w:p>
        </w:tc>
        <w:tc>
          <w:tcPr>
            <w:tcW w:w="5268" w:type="dxa"/>
          </w:tcPr>
          <w:p w14:paraId="6459F53A" w14:textId="28BE5913" w:rsidR="00556555" w:rsidRDefault="00556555" w:rsidP="00A41226">
            <w:pPr>
              <w:widowControl w:val="0"/>
              <w:jc w:val="both"/>
              <w:rPr>
                <w:sz w:val="22"/>
                <w:szCs w:val="22"/>
              </w:rPr>
            </w:pPr>
            <w:r>
              <w:rPr>
                <w:sz w:val="20"/>
              </w:rPr>
              <w:t>Si la nota numérica está entre 0 y 4, se asigna un 0 a la competencia; si está entre 4 y 6, se le asigna un 1; si está entre 6 y 8, se le asigna un 2; y si está entre 8 y 10, se le asigna un 3</w:t>
            </w:r>
          </w:p>
        </w:tc>
      </w:tr>
      <w:tr w:rsidR="00556555" w14:paraId="3B68F1EB" w14:textId="77777777" w:rsidTr="00A41226">
        <w:tc>
          <w:tcPr>
            <w:tcW w:w="1811" w:type="dxa"/>
          </w:tcPr>
          <w:p w14:paraId="24F2B074" w14:textId="77777777" w:rsidR="00556555" w:rsidRDefault="00556555" w:rsidP="00A41226">
            <w:pPr>
              <w:widowControl w:val="0"/>
              <w:rPr>
                <w:sz w:val="22"/>
                <w:szCs w:val="22"/>
              </w:rPr>
            </w:pPr>
            <w:r>
              <w:rPr>
                <w:sz w:val="20"/>
              </w:rPr>
              <w:t>CD</w:t>
            </w:r>
            <w:r>
              <w:rPr>
                <w:sz w:val="22"/>
                <w:szCs w:val="22"/>
              </w:rPr>
              <w:t xml:space="preserve"> (5%)</w:t>
            </w:r>
          </w:p>
        </w:tc>
        <w:tc>
          <w:tcPr>
            <w:tcW w:w="2441" w:type="dxa"/>
          </w:tcPr>
          <w:p w14:paraId="0D682AA2" w14:textId="77777777" w:rsidR="00556555" w:rsidRDefault="00556555" w:rsidP="00A41226">
            <w:pPr>
              <w:widowControl w:val="0"/>
              <w:rPr>
                <w:sz w:val="22"/>
                <w:szCs w:val="22"/>
              </w:rPr>
            </w:pPr>
            <w:r>
              <w:rPr>
                <w:sz w:val="20"/>
              </w:rPr>
              <w:t>SMARTICK, PLICKERS, KAHOOTS</w:t>
            </w:r>
          </w:p>
        </w:tc>
        <w:tc>
          <w:tcPr>
            <w:tcW w:w="5268" w:type="dxa"/>
          </w:tcPr>
          <w:p w14:paraId="7038502E" w14:textId="15DFEB9C" w:rsidR="00556555" w:rsidRDefault="00556555" w:rsidP="00A41226">
            <w:pPr>
              <w:widowControl w:val="0"/>
              <w:jc w:val="both"/>
              <w:rPr>
                <w:sz w:val="22"/>
                <w:szCs w:val="22"/>
              </w:rPr>
            </w:pPr>
            <w:r>
              <w:rPr>
                <w:sz w:val="20"/>
              </w:rPr>
              <w:t>Si la nota numérica está entre 0 y 4, se asigna un 0 a la competencia; si está entre 4 y 6, se le asigna un 1; si está entre 6 y 8, se le asigna un 2; y si está entre 8 y 10, se le asigna un 3</w:t>
            </w:r>
          </w:p>
        </w:tc>
      </w:tr>
      <w:tr w:rsidR="00556555" w14:paraId="57F9112E" w14:textId="77777777" w:rsidTr="00A41226">
        <w:tc>
          <w:tcPr>
            <w:tcW w:w="1811" w:type="dxa"/>
          </w:tcPr>
          <w:p w14:paraId="44158BED" w14:textId="77777777" w:rsidR="00556555" w:rsidRPr="002F73D7" w:rsidRDefault="00556555" w:rsidP="00A41226">
            <w:pPr>
              <w:widowControl w:val="0"/>
              <w:rPr>
                <w:sz w:val="20"/>
                <w:szCs w:val="20"/>
              </w:rPr>
            </w:pPr>
            <w:r w:rsidRPr="002F73D7">
              <w:rPr>
                <w:color w:val="000000"/>
                <w:sz w:val="20"/>
                <w:szCs w:val="20"/>
              </w:rPr>
              <w:t>CPSAA (10%)</w:t>
            </w:r>
          </w:p>
        </w:tc>
        <w:tc>
          <w:tcPr>
            <w:tcW w:w="2441" w:type="dxa"/>
          </w:tcPr>
          <w:p w14:paraId="09A5EED9" w14:textId="77777777" w:rsidR="00556555" w:rsidRDefault="00556555" w:rsidP="00A41226">
            <w:pPr>
              <w:widowControl w:val="0"/>
              <w:rPr>
                <w:sz w:val="22"/>
                <w:szCs w:val="22"/>
              </w:rPr>
            </w:pPr>
            <w:r>
              <w:rPr>
                <w:sz w:val="20"/>
              </w:rPr>
              <w:t xml:space="preserve">TRABAJO DIARIO: </w:t>
            </w:r>
          </w:p>
        </w:tc>
        <w:tc>
          <w:tcPr>
            <w:tcW w:w="5268" w:type="dxa"/>
          </w:tcPr>
          <w:p w14:paraId="3DC8B5F3" w14:textId="3BB59CD2" w:rsidR="00556555" w:rsidRDefault="00556555" w:rsidP="00A41226">
            <w:pPr>
              <w:widowControl w:val="0"/>
              <w:jc w:val="both"/>
              <w:rPr>
                <w:sz w:val="22"/>
                <w:szCs w:val="22"/>
              </w:rPr>
            </w:pPr>
            <w:r>
              <w:rPr>
                <w:sz w:val="20"/>
              </w:rPr>
              <w:t>Si la nota numérica está entre 0 y 4, se asigna un 0 a la competencia; si está entre 4 y 6, se le asigna un 1; si está entre 6 y 8, se le asigna un 2; y si está entre 8 y 10, se le asigna un 3.</w:t>
            </w:r>
          </w:p>
        </w:tc>
      </w:tr>
    </w:tbl>
    <w:p w14:paraId="0914ECC1" w14:textId="77777777" w:rsidR="00556555" w:rsidRDefault="00556555" w:rsidP="00556555">
      <w:pPr>
        <w:jc w:val="both"/>
        <w:rPr>
          <w:rFonts w:ascii="ArialMT" w:hAnsi="ArialMT" w:cs="ArialMT"/>
          <w:sz w:val="22"/>
          <w:szCs w:val="22"/>
        </w:rPr>
      </w:pPr>
    </w:p>
    <w:p w14:paraId="02CB4FD4" w14:textId="77777777" w:rsidR="00556555" w:rsidRPr="00AE248D" w:rsidRDefault="00556555" w:rsidP="00556555">
      <w:pPr>
        <w:jc w:val="both"/>
        <w:rPr>
          <w:rFonts w:ascii="ArialMT" w:hAnsi="ArialMT" w:cs="ArialMT"/>
          <w:sz w:val="22"/>
          <w:szCs w:val="22"/>
        </w:rPr>
      </w:pPr>
      <w:r w:rsidRPr="00AE248D">
        <w:rPr>
          <w:rFonts w:ascii="ArialMT" w:hAnsi="ArialMT" w:cs="ArialMT"/>
          <w:sz w:val="22"/>
          <w:szCs w:val="22"/>
        </w:rPr>
        <w:t>La evaluación se aprobará si la nota final de la evaluación es mayor o igual a 5 puntos.</w:t>
      </w:r>
    </w:p>
    <w:p w14:paraId="4CC235D5" w14:textId="77777777" w:rsidR="00556555" w:rsidRPr="00AE248D" w:rsidRDefault="00556555" w:rsidP="00556555">
      <w:pPr>
        <w:jc w:val="both"/>
        <w:rPr>
          <w:rFonts w:ascii="ArialMT" w:hAnsi="ArialMT" w:cs="ArialMT"/>
          <w:sz w:val="22"/>
          <w:szCs w:val="22"/>
        </w:rPr>
      </w:pPr>
    </w:p>
    <w:p w14:paraId="5198009A" w14:textId="77777777" w:rsidR="00556555" w:rsidRPr="00AE248D" w:rsidRDefault="00556555" w:rsidP="00556555">
      <w:pPr>
        <w:jc w:val="both"/>
        <w:rPr>
          <w:rFonts w:ascii="ArialMT" w:hAnsi="ArialMT" w:cs="ArialMT"/>
          <w:sz w:val="22"/>
          <w:szCs w:val="22"/>
        </w:rPr>
      </w:pPr>
      <w:r w:rsidRPr="00AE248D">
        <w:rPr>
          <w:rFonts w:ascii="ArialMT" w:hAnsi="ArialMT" w:cs="ArialMT"/>
          <w:sz w:val="22"/>
          <w:szCs w:val="22"/>
        </w:rPr>
        <w:t xml:space="preserve">La </w:t>
      </w:r>
      <w:r w:rsidRPr="00AE248D">
        <w:rPr>
          <w:rFonts w:ascii="ArialMT" w:hAnsi="ArialMT" w:cs="ArialMT"/>
          <w:b/>
          <w:bCs/>
          <w:sz w:val="22"/>
          <w:szCs w:val="22"/>
        </w:rPr>
        <w:t>nota final del curso</w:t>
      </w:r>
      <w:r w:rsidRPr="00AE248D">
        <w:rPr>
          <w:rFonts w:ascii="ArialMT" w:hAnsi="ArialMT" w:cs="ArialMT"/>
          <w:sz w:val="22"/>
          <w:szCs w:val="22"/>
        </w:rPr>
        <w:t xml:space="preserve"> será la media aritmética de las notas de las tres evaluaciones. Si esta es mayor o igual a 5, el alumno habrá aproba</w:t>
      </w:r>
      <w:r w:rsidRPr="00AE248D">
        <w:rPr>
          <w:rFonts w:ascii="ArialMT" w:hAnsi="ArialMT" w:cs="ArialMT"/>
          <w:sz w:val="22"/>
          <w:szCs w:val="22"/>
        </w:rPr>
        <w:softHyphen/>
        <w:t>do la asignatura.</w:t>
      </w:r>
    </w:p>
    <w:p w14:paraId="4F5BE4B8" w14:textId="77777777" w:rsidR="00556555" w:rsidRPr="00AE248D" w:rsidRDefault="00556555" w:rsidP="00556555">
      <w:pPr>
        <w:jc w:val="both"/>
        <w:rPr>
          <w:rFonts w:ascii="ArialMT" w:hAnsi="ArialMT" w:cs="ArialMT"/>
          <w:sz w:val="22"/>
          <w:szCs w:val="22"/>
        </w:rPr>
      </w:pPr>
    </w:p>
    <w:p w14:paraId="13623958" w14:textId="77777777" w:rsidR="00556555" w:rsidRDefault="00556555" w:rsidP="00556555">
      <w:pPr>
        <w:jc w:val="both"/>
        <w:rPr>
          <w:rFonts w:ascii="ArialMT" w:hAnsi="ArialMT" w:cs="ArialMT"/>
          <w:sz w:val="22"/>
          <w:szCs w:val="22"/>
          <w:lang w:val="es-ES_tradnl"/>
        </w:rPr>
      </w:pPr>
      <w:r w:rsidRPr="00AE248D">
        <w:rPr>
          <w:rFonts w:ascii="ArialMT" w:hAnsi="ArialMT" w:cs="ArialMT"/>
          <w:sz w:val="22"/>
          <w:szCs w:val="22"/>
          <w:lang w:val="es-ES_tradnl"/>
        </w:rPr>
        <w:t>En cada prueba de evaluación se indicarán los criterios de calificación que se van a aplicar y se señalarán las cuestiones, preguntas o desarrollos que forman parte de los aprendizajes esenciales.</w:t>
      </w:r>
    </w:p>
    <w:p w14:paraId="3A3E97EC" w14:textId="77777777" w:rsidR="00556555" w:rsidRPr="00AE248D" w:rsidRDefault="00556555" w:rsidP="00556555">
      <w:pPr>
        <w:jc w:val="both"/>
        <w:rPr>
          <w:rFonts w:ascii="ArialMT" w:hAnsi="ArialMT" w:cs="ArialMT"/>
          <w:sz w:val="22"/>
          <w:szCs w:val="22"/>
          <w:lang w:val="es-ES_tradnl"/>
        </w:rPr>
      </w:pPr>
    </w:p>
    <w:p w14:paraId="456441E7" w14:textId="0E56FFFF" w:rsidR="00DB5281" w:rsidRDefault="00556555" w:rsidP="00556555">
      <w:pPr>
        <w:jc w:val="both"/>
        <w:rPr>
          <w:rFonts w:ascii="ArialMT" w:hAnsi="ArialMT" w:cs="ArialMT"/>
          <w:sz w:val="22"/>
          <w:szCs w:val="22"/>
          <w:lang w:val="es-ES_tradnl"/>
        </w:rPr>
      </w:pPr>
      <w:r w:rsidRPr="00AE248D">
        <w:rPr>
          <w:rFonts w:ascii="ArialMT" w:hAnsi="ArialMT" w:cs="ArialMT"/>
          <w:sz w:val="22"/>
          <w:szCs w:val="22"/>
          <w:lang w:val="es-ES_tradnl"/>
        </w:rPr>
        <w:t>El profesorado del Departamento establecerá a principio de curso en cada grupo el máximo de ejercicios y problemas que se propondrán al alumnado para casa de forma que globalmente supongan media hora de trabajo diario.</w:t>
      </w:r>
    </w:p>
    <w:p w14:paraId="0BAAE404" w14:textId="77777777" w:rsidR="00556555" w:rsidRPr="00B2726D" w:rsidRDefault="00556555" w:rsidP="00556555">
      <w:pPr>
        <w:jc w:val="both"/>
        <w:rPr>
          <w:rFonts w:ascii="Arial" w:hAnsi="Arial" w:cs="Arial"/>
          <w:sz w:val="22"/>
          <w:szCs w:val="22"/>
        </w:rPr>
      </w:pPr>
    </w:p>
    <w:p w14:paraId="08DF7CDF" w14:textId="77777777" w:rsidR="00280BB4" w:rsidRDefault="00DB5281" w:rsidP="00F40306">
      <w:pPr>
        <w:rPr>
          <w:rFonts w:ascii="Arial" w:hAnsi="Arial" w:cs="Arial"/>
          <w:b/>
          <w:bCs/>
          <w:szCs w:val="15"/>
        </w:rPr>
      </w:pPr>
      <w:r w:rsidRPr="00B2726D">
        <w:rPr>
          <w:rFonts w:ascii="Arial" w:hAnsi="Arial" w:cs="Arial"/>
          <w:b/>
          <w:bCs/>
          <w:szCs w:val="15"/>
        </w:rPr>
        <w:t>RECUPERACIONES</w:t>
      </w:r>
    </w:p>
    <w:p w14:paraId="4E24E5E6" w14:textId="77777777" w:rsidR="00280BB4" w:rsidRDefault="00280BB4" w:rsidP="00F40306">
      <w:pPr>
        <w:rPr>
          <w:rFonts w:ascii="Arial" w:hAnsi="Arial" w:cs="Arial"/>
          <w:b/>
          <w:bCs/>
          <w:szCs w:val="15"/>
        </w:rPr>
      </w:pPr>
    </w:p>
    <w:p w14:paraId="3241028D" w14:textId="00C62FD0" w:rsidR="00DB5281" w:rsidRPr="00B2726D" w:rsidRDefault="00DB5281" w:rsidP="00F40306">
      <w:pPr>
        <w:rPr>
          <w:rFonts w:ascii="Arial" w:hAnsi="Arial" w:cs="Arial"/>
          <w:b/>
          <w:bCs/>
          <w:szCs w:val="15"/>
        </w:rPr>
      </w:pPr>
      <w:r w:rsidRPr="00B2726D">
        <w:rPr>
          <w:rFonts w:ascii="Arial" w:hAnsi="Arial" w:cs="Arial"/>
          <w:b/>
          <w:bCs/>
          <w:szCs w:val="15"/>
        </w:rPr>
        <w:t xml:space="preserve"> </w:t>
      </w:r>
    </w:p>
    <w:p w14:paraId="030BA794" w14:textId="79CC6A3E" w:rsidR="00DB5281" w:rsidRPr="00525EAA" w:rsidRDefault="00DB5281" w:rsidP="00F40306">
      <w:pPr>
        <w:jc w:val="both"/>
        <w:rPr>
          <w:rFonts w:ascii="Arial" w:hAnsi="Arial" w:cs="Arial"/>
        </w:rPr>
      </w:pPr>
      <w:r w:rsidRPr="00B2726D">
        <w:rPr>
          <w:rFonts w:ascii="Arial" w:hAnsi="Arial" w:cs="Arial"/>
          <w:bCs/>
          <w:szCs w:val="15"/>
        </w:rPr>
        <w:tab/>
        <w:t xml:space="preserve">Las posibles evaluaciones pendientes del mismo curso académico se podrán recuperar en una única prueba escrita que se celebrará </w:t>
      </w:r>
      <w:r w:rsidR="00525EAA">
        <w:rPr>
          <w:rFonts w:ascii="Arial" w:hAnsi="Arial" w:cs="Arial"/>
          <w:bCs/>
          <w:szCs w:val="15"/>
        </w:rPr>
        <w:t>en</w:t>
      </w:r>
      <w:r w:rsidRPr="00B2726D">
        <w:rPr>
          <w:rFonts w:ascii="Arial" w:hAnsi="Arial" w:cs="Arial"/>
          <w:bCs/>
          <w:szCs w:val="15"/>
        </w:rPr>
        <w:t xml:space="preserve"> junio. Aquellos alumnos que tengan una evaluación pendiente ha</w:t>
      </w:r>
      <w:r w:rsidR="00525EAA">
        <w:rPr>
          <w:rFonts w:ascii="Arial" w:hAnsi="Arial" w:cs="Arial"/>
          <w:bCs/>
          <w:szCs w:val="15"/>
        </w:rPr>
        <w:t>rán una prueba específica para e</w:t>
      </w:r>
      <w:r w:rsidRPr="00B2726D">
        <w:rPr>
          <w:rFonts w:ascii="Arial" w:hAnsi="Arial" w:cs="Arial"/>
          <w:bCs/>
          <w:szCs w:val="15"/>
        </w:rPr>
        <w:t>sa evaluación. Los que tengan 2 o más evaluaciones harán una prueba global de todo el curso. En caso de aprobar la recuperación,</w:t>
      </w:r>
      <w:r w:rsidR="00525EAA">
        <w:rPr>
          <w:rFonts w:ascii="Arial" w:hAnsi="Arial" w:cs="Arial"/>
        </w:rPr>
        <w:t xml:space="preserve"> </w:t>
      </w:r>
      <w:r w:rsidRPr="00B2726D">
        <w:rPr>
          <w:rFonts w:ascii="Arial" w:hAnsi="Arial" w:cs="Arial"/>
          <w:bCs/>
          <w:szCs w:val="15"/>
        </w:rPr>
        <w:t>la nota de la evaluación pendiente</w:t>
      </w:r>
      <w:r w:rsidR="007E3C58">
        <w:rPr>
          <w:rFonts w:ascii="Arial" w:hAnsi="Arial" w:cs="Arial"/>
          <w:bCs/>
          <w:szCs w:val="15"/>
        </w:rPr>
        <w:t xml:space="preserve"> será de un 5.</w:t>
      </w:r>
    </w:p>
    <w:p w14:paraId="766F01E6" w14:textId="77777777" w:rsidR="00280BB4" w:rsidRPr="00B2726D" w:rsidRDefault="00280BB4" w:rsidP="00E1016F">
      <w:pPr>
        <w:rPr>
          <w:rFonts w:ascii="Arial" w:hAnsi="Arial" w:cs="Arial"/>
        </w:rPr>
      </w:pPr>
      <w:bookmarkStart w:id="4" w:name="_Toc303334039"/>
    </w:p>
    <w:p w14:paraId="1FF6FAF5" w14:textId="3ED97F12" w:rsidR="00DB5281" w:rsidRPr="00AB31EB" w:rsidRDefault="00F52807" w:rsidP="0056679D">
      <w:pPr>
        <w:pStyle w:val="Ttulo1"/>
      </w:pPr>
      <w:bookmarkStart w:id="5" w:name="_Toc464301327"/>
      <w:bookmarkStart w:id="6" w:name="_Toc464302350"/>
      <w:bookmarkStart w:id="7" w:name="_Toc464303859"/>
      <w:bookmarkStart w:id="8" w:name="_Toc148106753"/>
      <w:bookmarkEnd w:id="4"/>
      <w:r>
        <w:t>3</w:t>
      </w:r>
      <w:r w:rsidR="00DB5281" w:rsidRPr="00AB31EB">
        <w:t xml:space="preserve">.- </w:t>
      </w:r>
      <w:r w:rsidR="00DB5281">
        <w:t>Orientaciones alumnos con la materia pendiente (matriculados en cursos posteriores)</w:t>
      </w:r>
      <w:bookmarkEnd w:id="5"/>
      <w:bookmarkEnd w:id="6"/>
      <w:bookmarkEnd w:id="7"/>
      <w:bookmarkEnd w:id="8"/>
    </w:p>
    <w:p w14:paraId="61065B6C" w14:textId="77777777" w:rsidR="00DB5281" w:rsidRDefault="00DB5281" w:rsidP="00910EA4">
      <w:pPr>
        <w:rPr>
          <w:rFonts w:ascii="Arial" w:hAnsi="Arial" w:cs="Arial"/>
        </w:rPr>
      </w:pPr>
    </w:p>
    <w:p w14:paraId="4BEE36F2" w14:textId="77777777" w:rsidR="00DB5281" w:rsidRDefault="00DB5281" w:rsidP="0056679D">
      <w:pPr>
        <w:jc w:val="both"/>
        <w:rPr>
          <w:rFonts w:ascii="Arial" w:hAnsi="Arial" w:cs="Arial"/>
          <w:sz w:val="22"/>
        </w:rPr>
      </w:pPr>
    </w:p>
    <w:p w14:paraId="0CBEAD4C" w14:textId="67D9F64A" w:rsidR="00A56E08" w:rsidRDefault="00F52807" w:rsidP="00A56E08">
      <w:pPr>
        <w:pStyle w:val="Sangra2detindependiente"/>
        <w:jc w:val="both"/>
      </w:pPr>
      <w:bookmarkStart w:id="9" w:name="OLE_LINK5"/>
      <w:r>
        <w:t>A l</w:t>
      </w:r>
      <w:r w:rsidR="00A56E08">
        <w:t xml:space="preserve">os alumnos que se encuentran cursando 3º de ESO y tengan pendiente la materia de Matemáticas de 2º de ESO </w:t>
      </w:r>
      <w:r>
        <w:t>se les recomienda</w:t>
      </w:r>
      <w:r w:rsidR="00A56E08">
        <w:t xml:space="preserve"> cursar la materia de Re</w:t>
      </w:r>
      <w:r>
        <w:t>fuerzo</w:t>
      </w:r>
      <w:r w:rsidR="00A56E08">
        <w:t xml:space="preserve"> de Matemáticas de 3º ESO, siempre que sea posible. </w:t>
      </w:r>
      <w:r>
        <w:t>Esta materia supondrá una ayuda para recordar, practicar y afianzar los contenidos y conceptos de 2ºde ESO y facilitar la comprensión de los nuevos contenidos de 3º de ESO.</w:t>
      </w:r>
      <w:r w:rsidR="00A56E08">
        <w:t xml:space="preserve"> </w:t>
      </w:r>
    </w:p>
    <w:p w14:paraId="0A0AE5C0" w14:textId="77777777" w:rsidR="00A56E08" w:rsidRDefault="00A56E08" w:rsidP="00A56E08">
      <w:pPr>
        <w:pStyle w:val="Sangra2detindependiente"/>
        <w:jc w:val="both"/>
      </w:pPr>
    </w:p>
    <w:p w14:paraId="5F1C9F82" w14:textId="07774D7A" w:rsidR="00A56E08" w:rsidRDefault="00F52807" w:rsidP="00A56E08">
      <w:pPr>
        <w:pStyle w:val="Textoindependiente3"/>
        <w:ind w:firstLine="708"/>
        <w:jc w:val="both"/>
        <w:rPr>
          <w:rFonts w:cs="Arial"/>
          <w:szCs w:val="22"/>
        </w:rPr>
      </w:pPr>
      <w:r>
        <w:rPr>
          <w:rFonts w:cs="Arial"/>
          <w:szCs w:val="22"/>
        </w:rPr>
        <w:t xml:space="preserve">No obstante, </w:t>
      </w:r>
      <w:r w:rsidR="00A56E08" w:rsidRPr="00A510C6">
        <w:rPr>
          <w:rFonts w:cs="Arial"/>
          <w:szCs w:val="22"/>
        </w:rPr>
        <w:t xml:space="preserve">los alumnos tendrán que demostrar sus conocimientos para poder recuperar </w:t>
      </w:r>
      <w:r w:rsidR="00A56E08">
        <w:rPr>
          <w:rFonts w:cs="Arial"/>
          <w:szCs w:val="22"/>
        </w:rPr>
        <w:t>Matemáticas de 2º ESO</w:t>
      </w:r>
      <w:r w:rsidR="00A56E08" w:rsidRPr="00A510C6">
        <w:rPr>
          <w:rFonts w:cs="Arial"/>
          <w:szCs w:val="22"/>
        </w:rPr>
        <w:t xml:space="preserve">. </w:t>
      </w:r>
    </w:p>
    <w:p w14:paraId="6820373C" w14:textId="77777777" w:rsidR="00A56E08" w:rsidRPr="00A510C6" w:rsidRDefault="00A56E08" w:rsidP="00A56E08">
      <w:pPr>
        <w:pStyle w:val="Textoindependiente3"/>
        <w:ind w:firstLine="708"/>
        <w:jc w:val="both"/>
        <w:rPr>
          <w:rFonts w:cs="Arial"/>
          <w:szCs w:val="22"/>
        </w:rPr>
      </w:pPr>
    </w:p>
    <w:p w14:paraId="36F3E00D" w14:textId="77777777" w:rsidR="00A56E08" w:rsidRDefault="00A56E08" w:rsidP="00A56E08">
      <w:pPr>
        <w:pStyle w:val="Textoindependiente3"/>
        <w:ind w:firstLine="708"/>
        <w:jc w:val="both"/>
        <w:rPr>
          <w:rFonts w:cs="Arial"/>
          <w:szCs w:val="22"/>
        </w:rPr>
      </w:pPr>
      <w:r w:rsidRPr="00A510C6">
        <w:rPr>
          <w:rFonts w:cs="Arial"/>
          <w:szCs w:val="22"/>
        </w:rPr>
        <w:t>A principios del curso, y basándonos en los formularios personalizados elaborados por el profesor que impartió clase al alumno el curso anterior, los alumnos recibirán una hoja de instrucciones en la que aparecerán:</w:t>
      </w:r>
    </w:p>
    <w:p w14:paraId="44E711BD" w14:textId="77777777" w:rsidR="00A56E08" w:rsidRPr="00A510C6" w:rsidRDefault="00A56E08" w:rsidP="00A56E08">
      <w:pPr>
        <w:pStyle w:val="Textoindependiente3"/>
        <w:ind w:firstLine="708"/>
        <w:jc w:val="both"/>
        <w:rPr>
          <w:rFonts w:cs="Arial"/>
          <w:szCs w:val="22"/>
        </w:rPr>
      </w:pPr>
    </w:p>
    <w:p w14:paraId="6FA05048" w14:textId="02D07A02" w:rsidR="00A56E08" w:rsidRPr="00A510C6" w:rsidRDefault="00A56E08" w:rsidP="00A56E08">
      <w:pPr>
        <w:pStyle w:val="Textoindependiente3"/>
        <w:numPr>
          <w:ilvl w:val="0"/>
          <w:numId w:val="10"/>
        </w:numPr>
        <w:spacing w:after="120" w:line="276" w:lineRule="auto"/>
        <w:jc w:val="both"/>
        <w:rPr>
          <w:rFonts w:cs="Arial"/>
          <w:bCs/>
          <w:szCs w:val="22"/>
        </w:rPr>
      </w:pPr>
      <w:r w:rsidRPr="00A510C6">
        <w:rPr>
          <w:rFonts w:cs="Arial"/>
          <w:bCs/>
          <w:szCs w:val="22"/>
        </w:rPr>
        <w:t xml:space="preserve">Los contenidos </w:t>
      </w:r>
      <w:r w:rsidR="000D2EF1">
        <w:rPr>
          <w:rFonts w:cs="Arial"/>
          <w:bCs/>
          <w:szCs w:val="22"/>
        </w:rPr>
        <w:t xml:space="preserve">esenciales </w:t>
      </w:r>
      <w:r w:rsidRPr="00A510C6">
        <w:rPr>
          <w:rFonts w:cs="Arial"/>
          <w:bCs/>
          <w:szCs w:val="22"/>
        </w:rPr>
        <w:t>de cada materia.</w:t>
      </w:r>
    </w:p>
    <w:p w14:paraId="7434C513" w14:textId="77777777" w:rsidR="00A56E08" w:rsidRPr="00A510C6" w:rsidRDefault="00A56E08" w:rsidP="00A56E08">
      <w:pPr>
        <w:pStyle w:val="Textoindependiente3"/>
        <w:numPr>
          <w:ilvl w:val="0"/>
          <w:numId w:val="10"/>
        </w:numPr>
        <w:spacing w:after="120" w:line="276" w:lineRule="auto"/>
        <w:jc w:val="both"/>
        <w:rPr>
          <w:rFonts w:cs="Arial"/>
          <w:bCs/>
          <w:szCs w:val="22"/>
        </w:rPr>
      </w:pPr>
      <w:r w:rsidRPr="00A510C6">
        <w:rPr>
          <w:rFonts w:cs="Arial"/>
          <w:bCs/>
          <w:szCs w:val="22"/>
        </w:rPr>
        <w:t>Actividades que deben realizar.</w:t>
      </w:r>
    </w:p>
    <w:p w14:paraId="277971E6" w14:textId="77777777" w:rsidR="00A56E08" w:rsidRPr="00A510C6" w:rsidRDefault="00A56E08" w:rsidP="00A56E08">
      <w:pPr>
        <w:pStyle w:val="Textoindependiente3"/>
        <w:numPr>
          <w:ilvl w:val="0"/>
          <w:numId w:val="10"/>
        </w:numPr>
        <w:spacing w:after="120" w:line="276" w:lineRule="auto"/>
        <w:jc w:val="both"/>
        <w:rPr>
          <w:rFonts w:cs="Arial"/>
          <w:bCs/>
          <w:szCs w:val="22"/>
        </w:rPr>
      </w:pPr>
      <w:r w:rsidRPr="00A510C6">
        <w:rPr>
          <w:rFonts w:cs="Arial"/>
          <w:bCs/>
          <w:szCs w:val="22"/>
        </w:rPr>
        <w:t>Calendario con las fechas de entrega de actividades realizadas.</w:t>
      </w:r>
    </w:p>
    <w:p w14:paraId="7913521A" w14:textId="77777777" w:rsidR="00A56E08" w:rsidRPr="00A510C6" w:rsidRDefault="00A56E08" w:rsidP="00A56E08">
      <w:pPr>
        <w:pStyle w:val="Textoindependiente3"/>
        <w:numPr>
          <w:ilvl w:val="0"/>
          <w:numId w:val="10"/>
        </w:numPr>
        <w:spacing w:after="120" w:line="276" w:lineRule="auto"/>
        <w:jc w:val="both"/>
        <w:rPr>
          <w:rFonts w:cs="Arial"/>
          <w:bCs/>
          <w:szCs w:val="22"/>
        </w:rPr>
      </w:pPr>
      <w:r w:rsidRPr="00A510C6">
        <w:rPr>
          <w:rFonts w:cs="Arial"/>
          <w:bCs/>
          <w:szCs w:val="22"/>
        </w:rPr>
        <w:t>Fecha de las pruebas.</w:t>
      </w:r>
    </w:p>
    <w:p w14:paraId="7541AF92" w14:textId="77777777" w:rsidR="00A56E08" w:rsidRPr="00A510C6" w:rsidRDefault="00A56E08" w:rsidP="00A56E08">
      <w:pPr>
        <w:pStyle w:val="Textoindependiente3"/>
        <w:numPr>
          <w:ilvl w:val="0"/>
          <w:numId w:val="10"/>
        </w:numPr>
        <w:spacing w:after="120" w:line="276" w:lineRule="auto"/>
        <w:jc w:val="both"/>
        <w:rPr>
          <w:rFonts w:cs="Arial"/>
          <w:bCs/>
          <w:szCs w:val="22"/>
        </w:rPr>
      </w:pPr>
      <w:r w:rsidRPr="00A510C6">
        <w:rPr>
          <w:rFonts w:cs="Arial"/>
          <w:bCs/>
          <w:szCs w:val="22"/>
        </w:rPr>
        <w:t xml:space="preserve">Cómo resolver dudas y preguntas de la materia. </w:t>
      </w:r>
    </w:p>
    <w:p w14:paraId="73F96541" w14:textId="77777777" w:rsidR="00A56E08" w:rsidRPr="00A510C6" w:rsidRDefault="00A56E08" w:rsidP="00A56E08">
      <w:pPr>
        <w:pStyle w:val="Textoindependiente3"/>
        <w:ind w:left="720"/>
        <w:jc w:val="both"/>
        <w:rPr>
          <w:rFonts w:cs="Arial"/>
          <w:bCs/>
          <w:szCs w:val="22"/>
        </w:rPr>
      </w:pPr>
    </w:p>
    <w:p w14:paraId="41AE5A23" w14:textId="77777777" w:rsidR="00A56E08" w:rsidRDefault="00A56E08" w:rsidP="00A56E08">
      <w:pPr>
        <w:pStyle w:val="Textoindependiente3"/>
        <w:ind w:firstLine="708"/>
        <w:jc w:val="both"/>
        <w:rPr>
          <w:rFonts w:cs="Arial"/>
          <w:szCs w:val="22"/>
        </w:rPr>
      </w:pPr>
      <w:r w:rsidRPr="00A510C6">
        <w:rPr>
          <w:rFonts w:cs="Arial"/>
          <w:szCs w:val="22"/>
        </w:rPr>
        <w:t>El proceso para recuperar la materia será el siguiente:</w:t>
      </w:r>
    </w:p>
    <w:p w14:paraId="58C4BD5E" w14:textId="77777777" w:rsidR="00A56E08" w:rsidRPr="00A510C6" w:rsidRDefault="00A56E08" w:rsidP="00A56E08">
      <w:pPr>
        <w:pStyle w:val="Textoindependiente3"/>
        <w:ind w:firstLine="708"/>
        <w:jc w:val="both"/>
        <w:rPr>
          <w:rFonts w:cs="Arial"/>
          <w:szCs w:val="22"/>
        </w:rPr>
      </w:pPr>
    </w:p>
    <w:p w14:paraId="0EA19206" w14:textId="77777777" w:rsidR="00A56E08" w:rsidRPr="00A510C6" w:rsidRDefault="00A56E08" w:rsidP="00A56E08">
      <w:pPr>
        <w:pStyle w:val="Textoindependiente3"/>
        <w:numPr>
          <w:ilvl w:val="0"/>
          <w:numId w:val="11"/>
        </w:numPr>
        <w:spacing w:after="120" w:line="276" w:lineRule="auto"/>
        <w:jc w:val="both"/>
        <w:rPr>
          <w:rFonts w:cs="Arial"/>
          <w:bCs/>
          <w:szCs w:val="22"/>
        </w:rPr>
      </w:pPr>
      <w:r w:rsidRPr="00A510C6">
        <w:rPr>
          <w:rFonts w:cs="Arial"/>
          <w:bCs/>
          <w:szCs w:val="22"/>
        </w:rPr>
        <w:t>El profesor del curso actual se encargará del seguimiento personalizado de los alumnos con la materia pendiente teniendo los formularios personalizados mencionados como referencia.</w:t>
      </w:r>
    </w:p>
    <w:p w14:paraId="676B9F9B" w14:textId="77777777" w:rsidR="00A56E08" w:rsidRPr="00A510C6" w:rsidRDefault="00A56E08" w:rsidP="00A56E08">
      <w:pPr>
        <w:pStyle w:val="Textoindependiente3"/>
        <w:numPr>
          <w:ilvl w:val="0"/>
          <w:numId w:val="11"/>
        </w:numPr>
        <w:spacing w:after="120" w:line="276" w:lineRule="auto"/>
        <w:jc w:val="both"/>
        <w:rPr>
          <w:rFonts w:cs="Arial"/>
          <w:bCs/>
          <w:szCs w:val="22"/>
        </w:rPr>
      </w:pPr>
      <w:r w:rsidRPr="00A510C6">
        <w:rPr>
          <w:rFonts w:cs="Arial"/>
          <w:bCs/>
          <w:szCs w:val="22"/>
        </w:rPr>
        <w:t>El alumno deberá entregar en las fechas indicadas las actividades que se le marquen.</w:t>
      </w:r>
    </w:p>
    <w:p w14:paraId="26D6FCB0" w14:textId="7EF37306" w:rsidR="00A56E08" w:rsidRPr="00A510C6" w:rsidRDefault="00A56E08" w:rsidP="00A56E08">
      <w:pPr>
        <w:pStyle w:val="Textoindependiente3"/>
        <w:numPr>
          <w:ilvl w:val="0"/>
          <w:numId w:val="11"/>
        </w:numPr>
        <w:spacing w:after="120" w:line="276" w:lineRule="auto"/>
        <w:jc w:val="both"/>
        <w:rPr>
          <w:rFonts w:cs="Arial"/>
          <w:bCs/>
          <w:szCs w:val="22"/>
        </w:rPr>
      </w:pPr>
      <w:r w:rsidRPr="00A510C6">
        <w:rPr>
          <w:rFonts w:cs="Arial"/>
          <w:bCs/>
          <w:szCs w:val="22"/>
        </w:rPr>
        <w:t xml:space="preserve">Se harán dos pruebas. Un primer control parcial en diciembre y otro en abril a las 14:10 h en el Aula B23. En el caso de suspender el parcial de diciembre, el control de abril tendría un carácter global. </w:t>
      </w:r>
    </w:p>
    <w:p w14:paraId="20A8BDB0" w14:textId="77777777" w:rsidR="00A56E08" w:rsidRPr="00A510C6" w:rsidRDefault="00A56E08" w:rsidP="00A56E08">
      <w:pPr>
        <w:pStyle w:val="Textoindependiente3"/>
        <w:numPr>
          <w:ilvl w:val="0"/>
          <w:numId w:val="11"/>
        </w:numPr>
        <w:spacing w:after="120" w:line="276" w:lineRule="auto"/>
        <w:jc w:val="both"/>
        <w:rPr>
          <w:rFonts w:cs="Arial"/>
          <w:bCs/>
          <w:szCs w:val="22"/>
        </w:rPr>
      </w:pPr>
      <w:r w:rsidRPr="00A510C6">
        <w:rPr>
          <w:rFonts w:cs="Arial"/>
          <w:bCs/>
          <w:szCs w:val="22"/>
        </w:rPr>
        <w:t>La calificación de materia se hará:</w:t>
      </w:r>
    </w:p>
    <w:p w14:paraId="0481C2F0" w14:textId="29C677E6" w:rsidR="00A56E08" w:rsidRPr="00A510C6" w:rsidRDefault="00A56E08" w:rsidP="00A56E08">
      <w:pPr>
        <w:pStyle w:val="Textoindependiente3"/>
        <w:numPr>
          <w:ilvl w:val="0"/>
          <w:numId w:val="11"/>
        </w:numPr>
        <w:spacing w:after="120" w:line="276" w:lineRule="auto"/>
        <w:jc w:val="both"/>
        <w:rPr>
          <w:rFonts w:cs="Arial"/>
          <w:bCs/>
          <w:szCs w:val="22"/>
        </w:rPr>
      </w:pPr>
      <w:r w:rsidRPr="00A510C6">
        <w:rPr>
          <w:rFonts w:cs="Arial"/>
          <w:bCs/>
          <w:szCs w:val="22"/>
        </w:rPr>
        <w:t>La entrega de los trabajos supondrá el 15% de la nota.</w:t>
      </w:r>
    </w:p>
    <w:p w14:paraId="012014EF" w14:textId="759FF062" w:rsidR="00A56E08" w:rsidRPr="00A510C6" w:rsidRDefault="00A56E08" w:rsidP="00A56E08">
      <w:pPr>
        <w:pStyle w:val="Textoindependiente3"/>
        <w:numPr>
          <w:ilvl w:val="0"/>
          <w:numId w:val="11"/>
        </w:numPr>
        <w:spacing w:after="120" w:line="276" w:lineRule="auto"/>
        <w:jc w:val="both"/>
        <w:rPr>
          <w:rFonts w:cs="Arial"/>
          <w:bCs/>
          <w:szCs w:val="22"/>
        </w:rPr>
      </w:pPr>
      <w:r w:rsidRPr="00A510C6">
        <w:rPr>
          <w:rFonts w:cs="Arial"/>
          <w:bCs/>
          <w:szCs w:val="22"/>
        </w:rPr>
        <w:t>La nota media de los dos controles o en el segundo caso la nota</w:t>
      </w:r>
      <w:r w:rsidR="003F4822">
        <w:rPr>
          <w:rFonts w:cs="Arial"/>
          <w:bCs/>
          <w:szCs w:val="22"/>
        </w:rPr>
        <w:t xml:space="preserve"> </w:t>
      </w:r>
      <w:r w:rsidRPr="00A510C6">
        <w:rPr>
          <w:rFonts w:cs="Arial"/>
          <w:bCs/>
          <w:szCs w:val="22"/>
        </w:rPr>
        <w:t>obtenida en abril</w:t>
      </w:r>
      <w:r w:rsidR="000D2EF1">
        <w:rPr>
          <w:rFonts w:cs="Arial"/>
          <w:bCs/>
          <w:szCs w:val="22"/>
        </w:rPr>
        <w:t xml:space="preserve"> </w:t>
      </w:r>
      <w:r w:rsidRPr="00A510C6">
        <w:rPr>
          <w:rFonts w:cs="Arial"/>
          <w:bCs/>
          <w:szCs w:val="22"/>
        </w:rPr>
        <w:t>supondrá</w:t>
      </w:r>
      <w:r w:rsidR="003F4822">
        <w:rPr>
          <w:rFonts w:cs="Arial"/>
          <w:bCs/>
          <w:szCs w:val="22"/>
        </w:rPr>
        <w:t xml:space="preserve"> </w:t>
      </w:r>
      <w:r w:rsidRPr="00A510C6">
        <w:rPr>
          <w:rFonts w:cs="Arial"/>
          <w:bCs/>
          <w:szCs w:val="22"/>
        </w:rPr>
        <w:t>el 85% de la nota.</w:t>
      </w:r>
    </w:p>
    <w:p w14:paraId="2A35FB50" w14:textId="13D5DB63" w:rsidR="00DB5281" w:rsidRPr="006C256B" w:rsidRDefault="00A56E08" w:rsidP="006C256B">
      <w:pPr>
        <w:pStyle w:val="Textoindependiente3"/>
        <w:numPr>
          <w:ilvl w:val="0"/>
          <w:numId w:val="11"/>
        </w:numPr>
        <w:spacing w:after="120" w:line="276" w:lineRule="auto"/>
        <w:jc w:val="both"/>
        <w:rPr>
          <w:rFonts w:cs="Arial"/>
          <w:bCs/>
          <w:szCs w:val="22"/>
        </w:rPr>
      </w:pPr>
      <w:r w:rsidRPr="00A510C6">
        <w:rPr>
          <w:rFonts w:cs="Arial"/>
          <w:bCs/>
          <w:szCs w:val="22"/>
        </w:rPr>
        <w:t>Si el alumno aprueba las dos primeras evaluaciones del curso superior, no tendrá que presentarse a la prueba de abril ya que se considerará aprobada la materia del curso inferior. La nota de la materia pendiente será la nota media obtenida entre las dos evaluaciones</w:t>
      </w:r>
      <w:bookmarkEnd w:id="9"/>
      <w:r w:rsidR="006C256B">
        <w:rPr>
          <w:rFonts w:cs="Arial"/>
          <w:bCs/>
          <w:szCs w:val="22"/>
        </w:rPr>
        <w:t>.</w:t>
      </w:r>
    </w:p>
    <w:sectPr w:rsidR="00DB5281" w:rsidRPr="006C256B" w:rsidSect="00DB5281">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DC3C" w14:textId="77777777" w:rsidR="00DD6020" w:rsidRDefault="00DD6020">
      <w:r>
        <w:separator/>
      </w:r>
    </w:p>
  </w:endnote>
  <w:endnote w:type="continuationSeparator" w:id="0">
    <w:p w14:paraId="49392136" w14:textId="77777777" w:rsidR="00DD6020" w:rsidRDefault="00DD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FS Albert">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123E" w14:textId="77777777" w:rsidR="00DB5281" w:rsidRPr="00C33EE1" w:rsidRDefault="00DB5281" w:rsidP="0056679D">
    <w:pPr>
      <w:pStyle w:val="Piedepgina"/>
      <w:jc w:val="center"/>
      <w:rPr>
        <w:rFonts w:ascii="Arial" w:hAnsi="Arial" w:cs="Arial"/>
      </w:rPr>
    </w:pPr>
    <w:r w:rsidRPr="00C33EE1">
      <w:rPr>
        <w:rFonts w:ascii="Arial" w:hAnsi="Arial" w:cs="Arial"/>
        <w:sz w:val="18"/>
        <w:szCs w:val="18"/>
      </w:rPr>
      <w:t>Mínimos y criterios/</w:t>
    </w:r>
    <w:r w:rsidR="004F7BDE">
      <w:rPr>
        <w:rFonts w:ascii="Arial" w:hAnsi="Arial" w:cs="Arial"/>
        <w:sz w:val="18"/>
        <w:szCs w:val="18"/>
      </w:rPr>
      <w:t xml:space="preserve"> 2º</w:t>
    </w:r>
    <w:r w:rsidRPr="00C33EE1">
      <w:rPr>
        <w:rFonts w:ascii="Arial" w:hAnsi="Arial" w:cs="Arial"/>
        <w:sz w:val="18"/>
        <w:szCs w:val="18"/>
      </w:rPr>
      <w:t xml:space="preserve"> ESO/ Matemáticas </w:t>
    </w:r>
    <w:r>
      <w:rPr>
        <w:rFonts w:ascii="Arial" w:hAnsi="Arial" w:cs="Arial"/>
        <w:sz w:val="18"/>
        <w:szCs w:val="18"/>
      </w:rPr>
      <w:t xml:space="preserve">    </w:t>
    </w:r>
    <w:r w:rsidRPr="00C33EE1">
      <w:rPr>
        <w:rFonts w:ascii="Arial" w:hAnsi="Arial" w:cs="Arial"/>
        <w:sz w:val="18"/>
        <w:szCs w:val="18"/>
      </w:rPr>
      <w:t xml:space="preserve">página </w:t>
    </w:r>
    <w:r w:rsidR="00615CF0" w:rsidRPr="00C33EE1">
      <w:rPr>
        <w:rStyle w:val="Nmerodepgina"/>
        <w:rFonts w:ascii="Arial" w:hAnsi="Arial" w:cs="Arial"/>
      </w:rPr>
      <w:fldChar w:fldCharType="begin"/>
    </w:r>
    <w:r w:rsidRPr="00C33EE1">
      <w:rPr>
        <w:rStyle w:val="Nmerodepgina"/>
        <w:rFonts w:ascii="Arial" w:hAnsi="Arial" w:cs="Arial"/>
      </w:rPr>
      <w:instrText xml:space="preserve"> PAGE </w:instrText>
    </w:r>
    <w:r w:rsidR="00615CF0" w:rsidRPr="00C33EE1">
      <w:rPr>
        <w:rStyle w:val="Nmerodepgina"/>
        <w:rFonts w:ascii="Arial" w:hAnsi="Arial" w:cs="Arial"/>
      </w:rPr>
      <w:fldChar w:fldCharType="separate"/>
    </w:r>
    <w:r w:rsidR="00256752">
      <w:rPr>
        <w:rStyle w:val="Nmerodepgina"/>
        <w:rFonts w:ascii="Arial" w:hAnsi="Arial" w:cs="Arial"/>
        <w:noProof/>
      </w:rPr>
      <w:t>1</w:t>
    </w:r>
    <w:r w:rsidR="00615CF0" w:rsidRPr="00C33EE1">
      <w:rPr>
        <w:rStyle w:val="Nmerodepgina"/>
        <w:rFonts w:ascii="Arial" w:hAnsi="Arial" w:cs="Arial"/>
      </w:rPr>
      <w:fldChar w:fldCharType="end"/>
    </w:r>
  </w:p>
  <w:p w14:paraId="277FB7CE" w14:textId="77777777" w:rsidR="00DB5281" w:rsidRPr="0056679D" w:rsidRDefault="00DB5281" w:rsidP="005667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7770" w14:textId="77777777" w:rsidR="00DD6020" w:rsidRDefault="00DD6020">
      <w:r>
        <w:separator/>
      </w:r>
    </w:p>
  </w:footnote>
  <w:footnote w:type="continuationSeparator" w:id="0">
    <w:p w14:paraId="1B47DB5A" w14:textId="77777777" w:rsidR="00DD6020" w:rsidRDefault="00DD6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B6F34"/>
    <w:multiLevelType w:val="hybridMultilevel"/>
    <w:tmpl w:val="F21A898A"/>
    <w:lvl w:ilvl="0" w:tplc="86223C2E">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C54D73"/>
    <w:multiLevelType w:val="hybridMultilevel"/>
    <w:tmpl w:val="167AB9D0"/>
    <w:lvl w:ilvl="0" w:tplc="0C0A0001">
      <w:start w:val="1"/>
      <w:numFmt w:val="bullet"/>
      <w:lvlText w:val=""/>
      <w:lvlJc w:val="left"/>
      <w:pPr>
        <w:tabs>
          <w:tab w:val="num" w:pos="1420"/>
        </w:tabs>
        <w:ind w:left="1420" w:hanging="360"/>
      </w:pPr>
      <w:rPr>
        <w:rFonts w:ascii="Symbol" w:hAnsi="Symbol" w:hint="default"/>
      </w:rPr>
    </w:lvl>
    <w:lvl w:ilvl="1" w:tplc="0C0A0003">
      <w:start w:val="1"/>
      <w:numFmt w:val="bullet"/>
      <w:lvlText w:val="o"/>
      <w:lvlJc w:val="left"/>
      <w:pPr>
        <w:tabs>
          <w:tab w:val="num" w:pos="2140"/>
        </w:tabs>
        <w:ind w:left="2140" w:hanging="360"/>
      </w:pPr>
      <w:rPr>
        <w:rFonts w:ascii="Courier New" w:hAnsi="Courier New" w:hint="default"/>
      </w:rPr>
    </w:lvl>
    <w:lvl w:ilvl="2" w:tplc="0C0A0005">
      <w:start w:val="1"/>
      <w:numFmt w:val="bullet"/>
      <w:lvlText w:val=""/>
      <w:lvlJc w:val="left"/>
      <w:pPr>
        <w:tabs>
          <w:tab w:val="num" w:pos="2860"/>
        </w:tabs>
        <w:ind w:left="2860" w:hanging="360"/>
      </w:pPr>
      <w:rPr>
        <w:rFonts w:ascii="Wingdings" w:hAnsi="Wingdings" w:hint="default"/>
      </w:rPr>
    </w:lvl>
    <w:lvl w:ilvl="3" w:tplc="0C0A0001">
      <w:start w:val="1"/>
      <w:numFmt w:val="bullet"/>
      <w:lvlText w:val=""/>
      <w:lvlJc w:val="left"/>
      <w:pPr>
        <w:tabs>
          <w:tab w:val="num" w:pos="3580"/>
        </w:tabs>
        <w:ind w:left="3580" w:hanging="360"/>
      </w:pPr>
      <w:rPr>
        <w:rFonts w:ascii="Symbol" w:hAnsi="Symbol" w:hint="default"/>
      </w:rPr>
    </w:lvl>
    <w:lvl w:ilvl="4" w:tplc="0C0A0003">
      <w:start w:val="1"/>
      <w:numFmt w:val="bullet"/>
      <w:lvlText w:val="o"/>
      <w:lvlJc w:val="left"/>
      <w:pPr>
        <w:tabs>
          <w:tab w:val="num" w:pos="4300"/>
        </w:tabs>
        <w:ind w:left="4300" w:hanging="360"/>
      </w:pPr>
      <w:rPr>
        <w:rFonts w:ascii="Courier New" w:hAnsi="Courier New" w:hint="default"/>
      </w:rPr>
    </w:lvl>
    <w:lvl w:ilvl="5" w:tplc="0C0A0005">
      <w:start w:val="1"/>
      <w:numFmt w:val="bullet"/>
      <w:lvlText w:val=""/>
      <w:lvlJc w:val="left"/>
      <w:pPr>
        <w:tabs>
          <w:tab w:val="num" w:pos="5020"/>
        </w:tabs>
        <w:ind w:left="5020" w:hanging="360"/>
      </w:pPr>
      <w:rPr>
        <w:rFonts w:ascii="Wingdings" w:hAnsi="Wingdings" w:hint="default"/>
      </w:rPr>
    </w:lvl>
    <w:lvl w:ilvl="6" w:tplc="0C0A0001">
      <w:start w:val="1"/>
      <w:numFmt w:val="bullet"/>
      <w:lvlText w:val=""/>
      <w:lvlJc w:val="left"/>
      <w:pPr>
        <w:tabs>
          <w:tab w:val="num" w:pos="5740"/>
        </w:tabs>
        <w:ind w:left="5740" w:hanging="360"/>
      </w:pPr>
      <w:rPr>
        <w:rFonts w:ascii="Symbol" w:hAnsi="Symbol" w:hint="default"/>
      </w:rPr>
    </w:lvl>
    <w:lvl w:ilvl="7" w:tplc="0C0A0003">
      <w:start w:val="1"/>
      <w:numFmt w:val="bullet"/>
      <w:lvlText w:val="o"/>
      <w:lvlJc w:val="left"/>
      <w:pPr>
        <w:tabs>
          <w:tab w:val="num" w:pos="6460"/>
        </w:tabs>
        <w:ind w:left="6460" w:hanging="360"/>
      </w:pPr>
      <w:rPr>
        <w:rFonts w:ascii="Courier New" w:hAnsi="Courier New" w:hint="default"/>
      </w:rPr>
    </w:lvl>
    <w:lvl w:ilvl="8" w:tplc="0C0A0005">
      <w:start w:val="1"/>
      <w:numFmt w:val="bullet"/>
      <w:lvlText w:val=""/>
      <w:lvlJc w:val="left"/>
      <w:pPr>
        <w:tabs>
          <w:tab w:val="num" w:pos="7180"/>
        </w:tabs>
        <w:ind w:left="7180" w:hanging="360"/>
      </w:pPr>
      <w:rPr>
        <w:rFonts w:ascii="Wingdings" w:hAnsi="Wingdings" w:hint="default"/>
      </w:rPr>
    </w:lvl>
  </w:abstractNum>
  <w:abstractNum w:abstractNumId="2" w15:restartNumberingAfterBreak="0">
    <w:nsid w:val="39D54CFD"/>
    <w:multiLevelType w:val="hybridMultilevel"/>
    <w:tmpl w:val="33DAC3FE"/>
    <w:lvl w:ilvl="0" w:tplc="86223C2E">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952613"/>
    <w:multiLevelType w:val="hybridMultilevel"/>
    <w:tmpl w:val="271827B2"/>
    <w:lvl w:ilvl="0" w:tplc="86223C2E">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40053B"/>
    <w:multiLevelType w:val="hybridMultilevel"/>
    <w:tmpl w:val="A566C7CE"/>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0064082"/>
    <w:multiLevelType w:val="hybridMultilevel"/>
    <w:tmpl w:val="D15AE03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806FC6"/>
    <w:multiLevelType w:val="hybridMultilevel"/>
    <w:tmpl w:val="8F0A18A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004DBF"/>
    <w:multiLevelType w:val="hybridMultilevel"/>
    <w:tmpl w:val="BE1CB8AC"/>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43E5EDC"/>
    <w:multiLevelType w:val="hybridMultilevel"/>
    <w:tmpl w:val="DABAB1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3E60871"/>
    <w:multiLevelType w:val="hybridMultilevel"/>
    <w:tmpl w:val="2ED61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0936553">
    <w:abstractNumId w:val="5"/>
  </w:num>
  <w:num w:numId="2" w16cid:durableId="657882697">
    <w:abstractNumId w:val="6"/>
  </w:num>
  <w:num w:numId="3" w16cid:durableId="1576237148">
    <w:abstractNumId w:val="4"/>
  </w:num>
  <w:num w:numId="4" w16cid:durableId="728112134">
    <w:abstractNumId w:val="3"/>
  </w:num>
  <w:num w:numId="5" w16cid:durableId="1237516869">
    <w:abstractNumId w:val="0"/>
  </w:num>
  <w:num w:numId="6" w16cid:durableId="1580559438">
    <w:abstractNumId w:val="2"/>
  </w:num>
  <w:num w:numId="7" w16cid:durableId="17795938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38185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7303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4680676">
    <w:abstractNumId w:val="8"/>
  </w:num>
  <w:num w:numId="11" w16cid:durableId="20980187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57"/>
    <w:rsid w:val="00004912"/>
    <w:rsid w:val="000B7811"/>
    <w:rsid w:val="000D2EF1"/>
    <w:rsid w:val="00101C85"/>
    <w:rsid w:val="00117BBB"/>
    <w:rsid w:val="0016128D"/>
    <w:rsid w:val="001A72FA"/>
    <w:rsid w:val="001B0F74"/>
    <w:rsid w:val="001B2310"/>
    <w:rsid w:val="001B7C00"/>
    <w:rsid w:val="001E442B"/>
    <w:rsid w:val="001F7439"/>
    <w:rsid w:val="00215FAC"/>
    <w:rsid w:val="00224FFF"/>
    <w:rsid w:val="00256752"/>
    <w:rsid w:val="002716A9"/>
    <w:rsid w:val="0027671A"/>
    <w:rsid w:val="00280BB4"/>
    <w:rsid w:val="002C3734"/>
    <w:rsid w:val="00313E59"/>
    <w:rsid w:val="00316AC5"/>
    <w:rsid w:val="0033441A"/>
    <w:rsid w:val="00357B8E"/>
    <w:rsid w:val="00390B2F"/>
    <w:rsid w:val="003A5BB7"/>
    <w:rsid w:val="003C5357"/>
    <w:rsid w:val="003F342B"/>
    <w:rsid w:val="003F4822"/>
    <w:rsid w:val="004123C8"/>
    <w:rsid w:val="00437BEF"/>
    <w:rsid w:val="004424C8"/>
    <w:rsid w:val="00451F87"/>
    <w:rsid w:val="00493FC3"/>
    <w:rsid w:val="004A7E02"/>
    <w:rsid w:val="004F31C2"/>
    <w:rsid w:val="004F7BDE"/>
    <w:rsid w:val="005011CB"/>
    <w:rsid w:val="0050202A"/>
    <w:rsid w:val="00525EAA"/>
    <w:rsid w:val="005377CF"/>
    <w:rsid w:val="005546EA"/>
    <w:rsid w:val="00556555"/>
    <w:rsid w:val="0056679D"/>
    <w:rsid w:val="00593D86"/>
    <w:rsid w:val="005D3B75"/>
    <w:rsid w:val="005D6869"/>
    <w:rsid w:val="005E0AA0"/>
    <w:rsid w:val="00615CF0"/>
    <w:rsid w:val="00636193"/>
    <w:rsid w:val="00646FEF"/>
    <w:rsid w:val="00663236"/>
    <w:rsid w:val="006A66AB"/>
    <w:rsid w:val="006C256B"/>
    <w:rsid w:val="006D568B"/>
    <w:rsid w:val="00720271"/>
    <w:rsid w:val="00734DB9"/>
    <w:rsid w:val="00746824"/>
    <w:rsid w:val="00752E29"/>
    <w:rsid w:val="007C3824"/>
    <w:rsid w:val="007E3C58"/>
    <w:rsid w:val="007E67ED"/>
    <w:rsid w:val="008334E1"/>
    <w:rsid w:val="008A73E9"/>
    <w:rsid w:val="008B17E5"/>
    <w:rsid w:val="008C29C0"/>
    <w:rsid w:val="008C3A38"/>
    <w:rsid w:val="008F330F"/>
    <w:rsid w:val="00910CCF"/>
    <w:rsid w:val="00910EA4"/>
    <w:rsid w:val="0093030D"/>
    <w:rsid w:val="009317E8"/>
    <w:rsid w:val="00940CFA"/>
    <w:rsid w:val="009664C7"/>
    <w:rsid w:val="009A1FF0"/>
    <w:rsid w:val="009D49AD"/>
    <w:rsid w:val="00A515AC"/>
    <w:rsid w:val="00A56E08"/>
    <w:rsid w:val="00A92029"/>
    <w:rsid w:val="00AB31EB"/>
    <w:rsid w:val="00AD2F4B"/>
    <w:rsid w:val="00AF10B9"/>
    <w:rsid w:val="00AF3C82"/>
    <w:rsid w:val="00B2726D"/>
    <w:rsid w:val="00B45BFE"/>
    <w:rsid w:val="00B75FFA"/>
    <w:rsid w:val="00BA01DC"/>
    <w:rsid w:val="00BA445C"/>
    <w:rsid w:val="00BB6E72"/>
    <w:rsid w:val="00BC69B7"/>
    <w:rsid w:val="00BD4128"/>
    <w:rsid w:val="00C3072C"/>
    <w:rsid w:val="00C30C15"/>
    <w:rsid w:val="00C30FCA"/>
    <w:rsid w:val="00C33EE1"/>
    <w:rsid w:val="00C537B4"/>
    <w:rsid w:val="00C556E6"/>
    <w:rsid w:val="00C73CD2"/>
    <w:rsid w:val="00C77563"/>
    <w:rsid w:val="00C93C66"/>
    <w:rsid w:val="00CB4A32"/>
    <w:rsid w:val="00CC6F58"/>
    <w:rsid w:val="00CD0986"/>
    <w:rsid w:val="00CF528F"/>
    <w:rsid w:val="00D01B95"/>
    <w:rsid w:val="00D47AA6"/>
    <w:rsid w:val="00D87FB3"/>
    <w:rsid w:val="00D9325E"/>
    <w:rsid w:val="00DA3C2F"/>
    <w:rsid w:val="00DB5281"/>
    <w:rsid w:val="00DC6C6A"/>
    <w:rsid w:val="00DD6020"/>
    <w:rsid w:val="00E03634"/>
    <w:rsid w:val="00E1016F"/>
    <w:rsid w:val="00E16969"/>
    <w:rsid w:val="00E274D9"/>
    <w:rsid w:val="00E92F89"/>
    <w:rsid w:val="00EB40BF"/>
    <w:rsid w:val="00F33573"/>
    <w:rsid w:val="00F40306"/>
    <w:rsid w:val="00F52807"/>
    <w:rsid w:val="00F972F8"/>
    <w:rsid w:val="00FA4A26"/>
    <w:rsid w:val="00FA561F"/>
    <w:rsid w:val="00FF69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03141E"/>
  <w15:docId w15:val="{B131BBD9-AEFF-4235-A529-E0C140C3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B95"/>
    <w:rPr>
      <w:sz w:val="24"/>
      <w:szCs w:val="24"/>
      <w:lang w:eastAsia="en-US"/>
    </w:rPr>
  </w:style>
  <w:style w:type="paragraph" w:styleId="Ttulo1">
    <w:name w:val="heading 1"/>
    <w:basedOn w:val="Normal"/>
    <w:next w:val="Normal"/>
    <w:link w:val="Ttulo1Car"/>
    <w:uiPriority w:val="9"/>
    <w:qFormat/>
    <w:rsid w:val="00D01B9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8B17E5"/>
    <w:pPr>
      <w:keepNext/>
      <w:spacing w:before="240" w:after="60"/>
      <w:outlineLvl w:val="1"/>
    </w:pPr>
    <w:rPr>
      <w:rFonts w:ascii="Arial" w:hAnsi="Arial" w:cs="Arial"/>
      <w:b/>
      <w:bCs/>
      <w:i/>
      <w:iCs/>
      <w:sz w:val="28"/>
      <w:szCs w:val="28"/>
    </w:rPr>
  </w:style>
  <w:style w:type="paragraph" w:styleId="Ttulo9">
    <w:name w:val="heading 9"/>
    <w:basedOn w:val="Normal"/>
    <w:next w:val="Normal"/>
    <w:link w:val="Ttulo9Car"/>
    <w:uiPriority w:val="9"/>
    <w:qFormat/>
    <w:rsid w:val="00D01B95"/>
    <w:pPr>
      <w:keepNext/>
      <w:outlineLvl w:val="8"/>
    </w:pPr>
    <w:rPr>
      <w:b/>
      <w:bCs/>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2F720B"/>
    <w:rPr>
      <w:rFonts w:ascii="Cambria" w:eastAsia="Times New Roman" w:hAnsi="Cambria" w:cs="Times New Roman"/>
      <w:b/>
      <w:bCs/>
      <w:kern w:val="32"/>
      <w:sz w:val="32"/>
      <w:szCs w:val="32"/>
      <w:lang w:eastAsia="en-US"/>
    </w:rPr>
  </w:style>
  <w:style w:type="character" w:customStyle="1" w:styleId="Ttulo2Car">
    <w:name w:val="Título 2 Car"/>
    <w:link w:val="Ttulo2"/>
    <w:uiPriority w:val="9"/>
    <w:semiHidden/>
    <w:rsid w:val="002F720B"/>
    <w:rPr>
      <w:rFonts w:ascii="Cambria" w:eastAsia="Times New Roman" w:hAnsi="Cambria" w:cs="Times New Roman"/>
      <w:b/>
      <w:bCs/>
      <w:i/>
      <w:iCs/>
      <w:sz w:val="28"/>
      <w:szCs w:val="28"/>
      <w:lang w:eastAsia="en-US"/>
    </w:rPr>
  </w:style>
  <w:style w:type="character" w:customStyle="1" w:styleId="Ttulo9Car">
    <w:name w:val="Título 9 Car"/>
    <w:link w:val="Ttulo9"/>
    <w:uiPriority w:val="9"/>
    <w:semiHidden/>
    <w:rsid w:val="002F720B"/>
    <w:rPr>
      <w:rFonts w:ascii="Cambria" w:eastAsia="Times New Roman" w:hAnsi="Cambria" w:cs="Times New Roman"/>
      <w:sz w:val="22"/>
      <w:szCs w:val="22"/>
      <w:lang w:eastAsia="en-US"/>
    </w:rPr>
  </w:style>
  <w:style w:type="paragraph" w:styleId="Sangranormal">
    <w:name w:val="Normal Indent"/>
    <w:basedOn w:val="Normal"/>
    <w:uiPriority w:val="99"/>
    <w:rsid w:val="00D01B95"/>
    <w:pPr>
      <w:ind w:left="708"/>
    </w:pPr>
    <w:rPr>
      <w:rFonts w:ascii="Arial" w:hAnsi="Arial"/>
      <w:szCs w:val="20"/>
      <w:lang w:val="es-ES_tradnl" w:eastAsia="es-ES"/>
    </w:rPr>
  </w:style>
  <w:style w:type="paragraph" w:styleId="TDC1">
    <w:name w:val="toc 1"/>
    <w:basedOn w:val="Normal"/>
    <w:next w:val="Normal"/>
    <w:autoRedefine/>
    <w:uiPriority w:val="39"/>
    <w:rsid w:val="00C73CD2"/>
  </w:style>
  <w:style w:type="character" w:styleId="Hipervnculo">
    <w:name w:val="Hyperlink"/>
    <w:uiPriority w:val="99"/>
    <w:rsid w:val="00C73CD2"/>
    <w:rPr>
      <w:rFonts w:cs="Times New Roman"/>
      <w:color w:val="0000FF"/>
      <w:u w:val="single"/>
    </w:rPr>
  </w:style>
  <w:style w:type="table" w:styleId="Tablaconcuadrcula">
    <w:name w:val="Table Grid"/>
    <w:basedOn w:val="Tablanormal"/>
    <w:uiPriority w:val="39"/>
    <w:rsid w:val="0091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F972F8"/>
    <w:pPr>
      <w:tabs>
        <w:tab w:val="center" w:pos="4252"/>
        <w:tab w:val="right" w:pos="8504"/>
      </w:tabs>
    </w:pPr>
  </w:style>
  <w:style w:type="character" w:customStyle="1" w:styleId="EncabezadoCar">
    <w:name w:val="Encabezado Car"/>
    <w:link w:val="Encabezado"/>
    <w:uiPriority w:val="99"/>
    <w:semiHidden/>
    <w:rsid w:val="002F720B"/>
    <w:rPr>
      <w:sz w:val="24"/>
      <w:szCs w:val="24"/>
      <w:lang w:eastAsia="en-US"/>
    </w:rPr>
  </w:style>
  <w:style w:type="paragraph" w:styleId="Piedepgina">
    <w:name w:val="footer"/>
    <w:basedOn w:val="Normal"/>
    <w:link w:val="PiedepginaCar"/>
    <w:uiPriority w:val="99"/>
    <w:rsid w:val="00F972F8"/>
    <w:pPr>
      <w:tabs>
        <w:tab w:val="center" w:pos="4252"/>
        <w:tab w:val="right" w:pos="8504"/>
      </w:tabs>
    </w:pPr>
  </w:style>
  <w:style w:type="character" w:customStyle="1" w:styleId="PiedepginaCar">
    <w:name w:val="Pie de página Car"/>
    <w:link w:val="Piedepgina"/>
    <w:uiPriority w:val="99"/>
    <w:semiHidden/>
    <w:rsid w:val="002F720B"/>
    <w:rPr>
      <w:sz w:val="24"/>
      <w:szCs w:val="24"/>
      <w:lang w:eastAsia="en-US"/>
    </w:rPr>
  </w:style>
  <w:style w:type="character" w:styleId="Nmerodepgina">
    <w:name w:val="page number"/>
    <w:uiPriority w:val="99"/>
    <w:rsid w:val="00F972F8"/>
    <w:rPr>
      <w:rFonts w:cs="Times New Roman"/>
    </w:rPr>
  </w:style>
  <w:style w:type="paragraph" w:styleId="Textoindependiente3">
    <w:name w:val="Body Text 3"/>
    <w:basedOn w:val="Normal"/>
    <w:link w:val="Textoindependiente3Car"/>
    <w:uiPriority w:val="99"/>
    <w:rsid w:val="0056679D"/>
    <w:rPr>
      <w:rFonts w:ascii="Arial" w:hAnsi="Arial"/>
      <w:sz w:val="22"/>
      <w:szCs w:val="20"/>
      <w:lang w:val="es-ES_tradnl" w:eastAsia="es-ES"/>
    </w:rPr>
  </w:style>
  <w:style w:type="character" w:customStyle="1" w:styleId="Textoindependiente3Car">
    <w:name w:val="Texto independiente 3 Car"/>
    <w:link w:val="Textoindependiente3"/>
    <w:uiPriority w:val="99"/>
    <w:semiHidden/>
    <w:locked/>
    <w:rsid w:val="0056679D"/>
    <w:rPr>
      <w:rFonts w:ascii="Arial" w:hAnsi="Arial" w:cs="Times New Roman"/>
      <w:sz w:val="22"/>
      <w:lang w:val="es-ES_tradnl" w:eastAsia="es-ES" w:bidi="ar-SA"/>
    </w:rPr>
  </w:style>
  <w:style w:type="paragraph" w:styleId="Sangra2detindependiente">
    <w:name w:val="Body Text Indent 2"/>
    <w:basedOn w:val="Normal"/>
    <w:link w:val="Sangra2detindependienteCar"/>
    <w:uiPriority w:val="99"/>
    <w:rsid w:val="0056679D"/>
    <w:pPr>
      <w:ind w:firstLine="708"/>
    </w:pPr>
    <w:rPr>
      <w:rFonts w:ascii="Arial" w:hAnsi="Arial" w:cs="Arial"/>
      <w:sz w:val="22"/>
      <w:lang w:eastAsia="es-ES"/>
    </w:rPr>
  </w:style>
  <w:style w:type="character" w:customStyle="1" w:styleId="Sangra2detindependienteCar">
    <w:name w:val="Sangría 2 de t. independiente Car"/>
    <w:link w:val="Sangra2detindependiente"/>
    <w:uiPriority w:val="99"/>
    <w:semiHidden/>
    <w:locked/>
    <w:rsid w:val="0056679D"/>
    <w:rPr>
      <w:rFonts w:ascii="Arial" w:hAnsi="Arial" w:cs="Arial"/>
      <w:sz w:val="24"/>
      <w:szCs w:val="24"/>
      <w:lang w:val="es-ES" w:eastAsia="es-ES" w:bidi="ar-SA"/>
    </w:rPr>
  </w:style>
  <w:style w:type="character" w:customStyle="1" w:styleId="Ninguno">
    <w:name w:val="Ninguno"/>
    <w:qFormat/>
    <w:rsid w:val="00554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1685</Words>
  <Characters>9272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MATEMÁTICAS 1º ESO</vt:lpstr>
    </vt:vector>
  </TitlesOfParts>
  <Company>al qadir</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MATEMÁTICAS 1º ESO</dc:title>
  <dc:creator>cientificon</dc:creator>
  <cp:lastModifiedBy>alumno</cp:lastModifiedBy>
  <cp:revision>3</cp:revision>
  <dcterms:created xsi:type="dcterms:W3CDTF">2025-09-29T15:48:00Z</dcterms:created>
  <dcterms:modified xsi:type="dcterms:W3CDTF">2025-10-15T17:52:00Z</dcterms:modified>
</cp:coreProperties>
</file>