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5028565</wp:posOffset>
            </wp:positionH>
            <wp:positionV relativeFrom="paragraph">
              <wp:posOffset>46990</wp:posOffset>
            </wp:positionV>
            <wp:extent cx="723900" cy="634365"/>
            <wp:effectExtent b="0" l="0" r="0" t="0"/>
            <wp:wrapNone/>
            <wp:docPr descr="logo-v1" id="3" name="image1.png"/>
            <a:graphic>
              <a:graphicData uri="http://schemas.openxmlformats.org/drawingml/2006/picture">
                <pic:pic>
                  <pic:nvPicPr>
                    <pic:cNvPr descr="logo-v1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343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IES Josefina Aldecoa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rPr/>
      </w:pPr>
      <w:bookmarkStart w:colFirst="0" w:colLast="0" w:name="_heading=h.41gkv25mhw0e" w:id="0"/>
      <w:bookmarkEnd w:id="0"/>
      <w:r w:rsidDel="00000000" w:rsidR="00000000" w:rsidRPr="00000000">
        <w:rPr>
          <w:rtl w:val="0"/>
        </w:rPr>
        <w:t xml:space="preserve">Informativo-Programación</w:t>
      </w:r>
    </w:p>
    <w:p w:rsidR="00000000" w:rsidDel="00000000" w:rsidP="00000000" w:rsidRDefault="00000000" w:rsidRPr="00000000" w14:paraId="00000006">
      <w:pPr>
        <w:pStyle w:val="Title"/>
        <w:rPr/>
      </w:pPr>
      <w:bookmarkStart w:colFirst="0" w:colLast="0" w:name="_heading=h.69ockrm8wec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rPr>
          <w:sz w:val="42"/>
          <w:szCs w:val="42"/>
        </w:rPr>
      </w:pPr>
      <w:bookmarkStart w:colFirst="0" w:colLast="0" w:name="_heading=h.exn4v8gcq6wx" w:id="2"/>
      <w:bookmarkEnd w:id="2"/>
      <w:r w:rsidDel="00000000" w:rsidR="00000000" w:rsidRPr="00000000">
        <w:rPr>
          <w:sz w:val="42"/>
          <w:szCs w:val="42"/>
          <w:rtl w:val="0"/>
        </w:rPr>
        <w:t xml:space="preserve">MATERIA / ÁREA / MÓDULO: Psicología- 2º BACHILLERATO</w:t>
      </w:r>
    </w:p>
    <w:p w:rsidR="00000000" w:rsidDel="00000000" w:rsidP="00000000" w:rsidRDefault="00000000" w:rsidRPr="00000000" w14:paraId="00000008">
      <w:pPr>
        <w:pStyle w:val="Title"/>
        <w:rPr>
          <w:sz w:val="42"/>
          <w:szCs w:val="42"/>
        </w:rPr>
      </w:pPr>
      <w:bookmarkStart w:colFirst="0" w:colLast="0" w:name="_heading=h.y6urr9p7mtz8" w:id="3"/>
      <w:bookmarkEnd w:id="3"/>
      <w:r w:rsidDel="00000000" w:rsidR="00000000" w:rsidRPr="00000000">
        <w:rPr>
          <w:sz w:val="42"/>
          <w:szCs w:val="42"/>
          <w:rtl w:val="0"/>
        </w:rPr>
        <w:t xml:space="preserve">DEPARTAMENTO: FILOSOFÍA</w:t>
      </w:r>
    </w:p>
    <w:p w:rsidR="00000000" w:rsidDel="00000000" w:rsidP="00000000" w:rsidRDefault="00000000" w:rsidRPr="00000000" w14:paraId="00000009">
      <w:pPr>
        <w:pStyle w:val="Title"/>
        <w:rPr>
          <w:sz w:val="42"/>
          <w:szCs w:val="42"/>
        </w:rPr>
      </w:pPr>
      <w:bookmarkStart w:colFirst="0" w:colLast="0" w:name="_heading=h.j56parbiwguq" w:id="4"/>
      <w:bookmarkEnd w:id="4"/>
      <w:r w:rsidDel="00000000" w:rsidR="00000000" w:rsidRPr="00000000">
        <w:rPr>
          <w:sz w:val="42"/>
          <w:szCs w:val="42"/>
          <w:rtl w:val="0"/>
        </w:rPr>
        <w:t xml:space="preserve">Fecha última actualización: Octubre-2025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0" w:lineRule="auto"/>
        <w:rPr/>
      </w:pPr>
      <w:r w:rsidDel="00000000" w:rsidR="00000000" w:rsidRPr="00000000">
        <w:rPr>
          <w:rtl w:val="0"/>
        </w:rPr>
        <w:t xml:space="preserve">ÍNDICE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dt>
      <w:sdtPr>
        <w:id w:val="1360416832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D">
          <w:pPr>
            <w:widowControl w:val="0"/>
            <w:tabs>
              <w:tab w:val="right" w:leader="none" w:pos="9127"/>
            </w:tabs>
            <w:spacing w:after="0" w:before="60" w:line="240" w:lineRule="auto"/>
            <w:ind w:right="0"/>
            <w:rPr>
              <w:b w:val="1"/>
              <w:color w:val="000000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gjdgxs">
            <w:r w:rsidDel="00000000" w:rsidR="00000000" w:rsidRPr="00000000">
              <w:rPr>
                <w:b w:val="1"/>
                <w:color w:val="000000"/>
                <w:rtl w:val="0"/>
              </w:rPr>
              <w:t xml:space="preserve">1. Contenidos exigibles mínimos para una evaluación positiva de la materia, área o módulo</w:t>
              <w:tab/>
            </w:r>
          </w:hyperlink>
          <w:r w:rsidDel="00000000" w:rsidR="00000000" w:rsidRPr="00000000">
            <w:rPr>
              <w:b w:val="1"/>
              <w:rtl w:val="0"/>
            </w:rPr>
            <w:t xml:space="preserve">2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widowControl w:val="0"/>
            <w:tabs>
              <w:tab w:val="right" w:leader="none" w:pos="9127"/>
            </w:tabs>
            <w:spacing w:after="0" w:before="60" w:line="240" w:lineRule="auto"/>
            <w:ind w:right="0"/>
            <w:rPr>
              <w:b w:val="1"/>
              <w:color w:val="000000"/>
            </w:rPr>
          </w:pPr>
          <w:hyperlink w:anchor="_heading=h.30j0zll">
            <w:r w:rsidDel="00000000" w:rsidR="00000000" w:rsidRPr="00000000">
              <w:rPr>
                <w:b w:val="1"/>
                <w:color w:val="000000"/>
                <w:rtl w:val="0"/>
              </w:rPr>
              <w:t xml:space="preserve">2. Procedimientos e instrumentos de evaluación, junto con los criterios de calificación aplicables</w:t>
              <w:tab/>
            </w:r>
          </w:hyperlink>
          <w:r w:rsidDel="00000000" w:rsidR="00000000" w:rsidRPr="00000000">
            <w:rPr>
              <w:b w:val="1"/>
              <w:rtl w:val="0"/>
            </w:rPr>
            <w:t xml:space="preserve">3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widowControl w:val="0"/>
            <w:tabs>
              <w:tab w:val="right" w:leader="none" w:pos="9127"/>
            </w:tabs>
            <w:spacing w:after="0" w:before="60" w:line="240" w:lineRule="auto"/>
            <w:ind w:left="360" w:right="0" w:firstLine="0"/>
            <w:rPr>
              <w:color w:val="000000"/>
            </w:rPr>
          </w:pPr>
          <w:hyperlink w:anchor="_heading=h.2aqijsm5uz5">
            <w:r w:rsidDel="00000000" w:rsidR="00000000" w:rsidRPr="00000000">
              <w:rPr>
                <w:color w:val="000000"/>
                <w:rtl w:val="0"/>
              </w:rPr>
              <w:t xml:space="preserve">5.2. Instrumentos de evaluación</w:t>
              <w:tab/>
            </w:r>
          </w:hyperlink>
          <w:r w:rsidDel="00000000" w:rsidR="00000000" w:rsidRPr="00000000">
            <w:rPr>
              <w:rtl w:val="0"/>
            </w:rPr>
            <w:t xml:space="preserve">3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widowControl w:val="0"/>
            <w:tabs>
              <w:tab w:val="right" w:leader="none" w:pos="9127"/>
            </w:tabs>
            <w:spacing w:after="0" w:before="60" w:line="240" w:lineRule="auto"/>
            <w:ind w:left="360" w:right="0" w:firstLine="0"/>
            <w:rPr>
              <w:color w:val="000000"/>
            </w:rPr>
          </w:pPr>
          <w:hyperlink w:anchor="_heading=h.8csbeuqovryv">
            <w:r w:rsidDel="00000000" w:rsidR="00000000" w:rsidRPr="00000000">
              <w:rPr>
                <w:color w:val="000000"/>
                <w:rtl w:val="0"/>
              </w:rPr>
              <w:t xml:space="preserve">5.3. Criterios de calificación</w:t>
              <w:tab/>
            </w:r>
          </w:hyperlink>
          <w:r w:rsidDel="00000000" w:rsidR="00000000" w:rsidRPr="00000000">
            <w:rPr>
              <w:rtl w:val="0"/>
            </w:rPr>
            <w:t xml:space="preserve">4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widowControl w:val="0"/>
            <w:tabs>
              <w:tab w:val="right" w:leader="none" w:pos="9127"/>
            </w:tabs>
            <w:spacing w:after="0" w:before="60" w:line="240" w:lineRule="auto"/>
            <w:ind w:left="720" w:right="0" w:firstLine="0"/>
            <w:rPr>
              <w:color w:val="000000"/>
            </w:rPr>
          </w:pPr>
          <w:hyperlink w:anchor="_heading=h.fzvbjatyr74b">
            <w:r w:rsidDel="00000000" w:rsidR="00000000" w:rsidRPr="00000000">
              <w:rPr>
                <w:color w:val="000000"/>
                <w:rtl w:val="0"/>
              </w:rPr>
              <w:t xml:space="preserve">Procedimiento de recuperación de evaluaciones pendientes</w:t>
              <w:tab/>
            </w:r>
          </w:hyperlink>
          <w:r w:rsidDel="00000000" w:rsidR="00000000" w:rsidRPr="00000000">
            <w:rPr>
              <w:rtl w:val="0"/>
            </w:rPr>
            <w:t xml:space="preserve">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widowControl w:val="0"/>
            <w:tabs>
              <w:tab w:val="right" w:leader="none" w:pos="9127"/>
            </w:tabs>
            <w:spacing w:after="0" w:before="60" w:line="240" w:lineRule="auto"/>
            <w:ind w:left="720" w:right="0" w:firstLine="0"/>
            <w:rPr>
              <w:color w:val="000000"/>
            </w:rPr>
          </w:pPr>
          <w:hyperlink w:anchor="_heading=h.dyqmljztzqs">
            <w:r w:rsidDel="00000000" w:rsidR="00000000" w:rsidRPr="00000000">
              <w:rPr>
                <w:color w:val="000000"/>
                <w:rtl w:val="0"/>
              </w:rPr>
              <w:t xml:space="preserve">Procedimiento y actividades de recuperación para los alumnos con materias pendientes de cursos anteriores</w:t>
              <w:tab/>
            </w:r>
          </w:hyperlink>
          <w:r w:rsidDel="00000000" w:rsidR="00000000" w:rsidRPr="00000000">
            <w:rPr>
              <w:rtl w:val="0"/>
            </w:rPr>
            <w:t xml:space="preserve">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widowControl w:val="0"/>
            <w:tabs>
              <w:tab w:val="right" w:leader="none" w:pos="9127"/>
            </w:tabs>
            <w:spacing w:after="0" w:before="60" w:line="240" w:lineRule="auto"/>
            <w:ind w:left="720" w:right="0" w:firstLine="0"/>
            <w:rPr>
              <w:color w:val="000000"/>
            </w:rPr>
          </w:pPr>
          <w:hyperlink w:anchor="_heading=h.rej17gi22g4w">
            <w:r w:rsidDel="00000000" w:rsidR="00000000" w:rsidRPr="00000000">
              <w:rPr>
                <w:color w:val="000000"/>
                <w:rtl w:val="0"/>
              </w:rPr>
              <w:t xml:space="preserve">Medidas de apoyo y/o refuerzo educativo a lo largo del curso académico</w:t>
              <w:tab/>
            </w:r>
          </w:hyperlink>
          <w:r w:rsidDel="00000000" w:rsidR="00000000" w:rsidRPr="00000000">
            <w:rPr>
              <w:rtl w:val="0"/>
            </w:rPr>
            <w:t xml:space="preserve">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widowControl w:val="0"/>
            <w:tabs>
              <w:tab w:val="right" w:leader="none" w:pos="9127"/>
            </w:tabs>
            <w:spacing w:after="0" w:before="60" w:line="240" w:lineRule="auto"/>
            <w:ind w:left="720" w:right="0" w:firstLine="0"/>
            <w:rPr>
              <w:color w:val="000000"/>
            </w:rPr>
          </w:pPr>
          <w:hyperlink w:anchor="_heading=h.e7d4iexennw1">
            <w:r w:rsidDel="00000000" w:rsidR="00000000" w:rsidRPr="00000000">
              <w:rPr>
                <w:color w:val="000000"/>
                <w:rtl w:val="0"/>
              </w:rPr>
              <w:t xml:space="preserve">Alumnado al que se desaplica la evaluación continua</w:t>
              <w:tab/>
            </w:r>
          </w:hyperlink>
          <w:r w:rsidDel="00000000" w:rsidR="00000000" w:rsidRPr="00000000">
            <w:rPr>
              <w:rtl w:val="0"/>
            </w:rPr>
            <w:t xml:space="preserve">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widowControl w:val="0"/>
            <w:tabs>
              <w:tab w:val="right" w:leader="none" w:pos="9127"/>
            </w:tabs>
            <w:spacing w:after="0" w:before="60" w:line="240" w:lineRule="auto"/>
            <w:ind w:right="0"/>
            <w:rPr>
              <w:b w:val="1"/>
              <w:color w:val="000000"/>
            </w:rPr>
          </w:pPr>
          <w:hyperlink w:anchor="_heading=h.3znysh7">
            <w:r w:rsidDel="00000000" w:rsidR="00000000" w:rsidRPr="00000000">
              <w:rPr>
                <w:b w:val="1"/>
                <w:color w:val="000000"/>
                <w:rtl w:val="0"/>
              </w:rPr>
              <w:t xml:space="preserve">3. Estructura de las pruebas extraordinarias y sus criterios de calificación</w:t>
              <w:tab/>
            </w:r>
          </w:hyperlink>
          <w:r w:rsidDel="00000000" w:rsidR="00000000" w:rsidRPr="00000000">
            <w:rPr>
              <w:b w:val="1"/>
              <w:rtl w:val="0"/>
            </w:rPr>
            <w:t xml:space="preserve">5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numPr>
          <w:ilvl w:val="0"/>
          <w:numId w:val="2"/>
        </w:numPr>
        <w:ind w:left="708" w:right="140" w:hanging="708"/>
        <w:rPr>
          <w:sz w:val="36"/>
          <w:szCs w:val="36"/>
        </w:rPr>
      </w:pPr>
      <w:bookmarkStart w:colFirst="0" w:colLast="0" w:name="_heading=h.gjdgxs" w:id="5"/>
      <w:bookmarkEnd w:id="5"/>
      <w:r w:rsidDel="00000000" w:rsidR="00000000" w:rsidRPr="00000000">
        <w:rPr>
          <w:sz w:val="36"/>
          <w:szCs w:val="36"/>
          <w:rtl w:val="0"/>
        </w:rPr>
        <w:t xml:space="preserve">Contenidos exigibles mínimos para una evaluación positiva de la materia, área o módulo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Rule="auto"/>
        <w:ind w:left="720" w:right="140" w:hanging="360"/>
        <w:rPr/>
      </w:pPr>
      <w:r w:rsidDel="00000000" w:rsidR="00000000" w:rsidRPr="00000000">
        <w:rPr>
          <w:rtl w:val="0"/>
        </w:rPr>
        <w:t xml:space="preserve">Definición, características y objetivos de la Psicología. Escuelas psicológicas contemporáneas (psicoanálisis, Gestalt, conductismo, humanismo, cognoscitivismo)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0" w:lineRule="auto"/>
        <w:ind w:left="720" w:right="140" w:hanging="360"/>
        <w:rPr/>
      </w:pPr>
      <w:r w:rsidDel="00000000" w:rsidR="00000000" w:rsidRPr="00000000">
        <w:rPr>
          <w:rtl w:val="0"/>
        </w:rPr>
        <w:t xml:space="preserve">Ramas de la psicología. Método científico en psicología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before="0" w:lineRule="auto"/>
        <w:ind w:left="720" w:right="140" w:hanging="360"/>
        <w:rPr/>
      </w:pPr>
      <w:r w:rsidDel="00000000" w:rsidR="00000000" w:rsidRPr="00000000">
        <w:rPr>
          <w:rtl w:val="0"/>
        </w:rPr>
        <w:t xml:space="preserve">Estructura y funciones del SN: las neuronas, el impulso nervioso, sinapsis neuronal y los neurotransmisores cerebrales.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0" w:lineRule="auto"/>
        <w:ind w:left="720" w:right="140" w:hanging="360"/>
        <w:rPr/>
      </w:pPr>
      <w:r w:rsidDel="00000000" w:rsidR="00000000" w:rsidRPr="00000000">
        <w:rPr>
          <w:rtl w:val="0"/>
        </w:rPr>
        <w:t xml:space="preserve">Características y fases del proceso perceptivo.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0" w:lineRule="auto"/>
        <w:ind w:left="720" w:right="140" w:hanging="360"/>
        <w:rPr/>
      </w:pPr>
      <w:r w:rsidDel="00000000" w:rsidR="00000000" w:rsidRPr="00000000">
        <w:rPr>
          <w:rtl w:val="0"/>
        </w:rPr>
        <w:t xml:space="preserve">Anatomía y fisiología del ojo y del oído. Los umbrales sensoriales. Psicología de los colores.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lineRule="auto"/>
        <w:ind w:left="720" w:right="140" w:hanging="360"/>
        <w:rPr/>
      </w:pPr>
      <w:r w:rsidDel="00000000" w:rsidR="00000000" w:rsidRPr="00000000">
        <w:rPr>
          <w:rtl w:val="0"/>
        </w:rPr>
        <w:t xml:space="preserve">Teorías sobre la percepción. Factores externos y subjetivos que influyen en la percepción.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Rule="auto"/>
        <w:ind w:left="720" w:right="140" w:hanging="360"/>
        <w:rPr/>
      </w:pPr>
      <w:r w:rsidDel="00000000" w:rsidR="00000000" w:rsidRPr="00000000">
        <w:rPr>
          <w:rtl w:val="0"/>
        </w:rPr>
        <w:t xml:space="preserve">Las ilusiones ópticas y los trastornos perceptivos: las agnosias, ilusiones y las alucinaciones.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before="0" w:lineRule="auto"/>
        <w:ind w:left="720" w:right="140" w:hanging="360"/>
        <w:rPr/>
      </w:pPr>
      <w:r w:rsidDel="00000000" w:rsidR="00000000" w:rsidRPr="00000000">
        <w:rPr>
          <w:rtl w:val="0"/>
        </w:rPr>
        <w:t xml:space="preserve">La atención como proceso de selección de estímulos. Características básicas de la atención y factores que la determinan.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before="0" w:lineRule="auto"/>
        <w:ind w:left="720" w:right="140" w:hanging="360"/>
        <w:rPr/>
      </w:pPr>
      <w:r w:rsidDel="00000000" w:rsidR="00000000" w:rsidRPr="00000000">
        <w:rPr>
          <w:rtl w:val="0"/>
        </w:rPr>
        <w:t xml:space="preserve">Estructura y funcionamiento de la memoria: sensorial, a corto y largo plazo. Teoría del pensamiento de la información. Causas del olvido: técnicas y estrategias para mejorar la memoria.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before="0" w:lineRule="auto"/>
        <w:ind w:left="720" w:right="140" w:hanging="360"/>
        <w:rPr/>
      </w:pPr>
      <w:r w:rsidDel="00000000" w:rsidR="00000000" w:rsidRPr="00000000">
        <w:rPr>
          <w:rtl w:val="0"/>
        </w:rPr>
        <w:t xml:space="preserve">Qué es aprendizaje. Conductas innatas: reflejos y pautas fijas de acción. Teorías sobre el aprendizaje. El aprendizaje social. Los mapas conceptuales.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before="0" w:lineRule="auto"/>
        <w:ind w:left="720" w:right="140" w:hanging="360"/>
        <w:rPr/>
      </w:pPr>
      <w:r w:rsidDel="00000000" w:rsidR="00000000" w:rsidRPr="00000000">
        <w:rPr>
          <w:rtl w:val="0"/>
        </w:rPr>
        <w:t xml:space="preserve">El desarrollo del pensamiento en la adolescencia según Piaget. Formación de conceptos.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before="0" w:lineRule="auto"/>
        <w:ind w:left="720" w:right="140" w:hanging="360"/>
        <w:rPr/>
      </w:pPr>
      <w:r w:rsidDel="00000000" w:rsidR="00000000" w:rsidRPr="00000000">
        <w:rPr>
          <w:rtl w:val="0"/>
        </w:rPr>
        <w:t xml:space="preserve">Razonamiento. Distorsiones cognitivas.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before="0" w:lineRule="auto"/>
        <w:ind w:left="720" w:right="140" w:hanging="360"/>
        <w:rPr/>
      </w:pPr>
      <w:r w:rsidDel="00000000" w:rsidR="00000000" w:rsidRPr="00000000">
        <w:rPr>
          <w:rtl w:val="0"/>
        </w:rPr>
        <w:t xml:space="preserve">Qué es la inteligencia y sus enfoques fundamentales. Binomio herencia-medio. El proceso de comunicación. Tipos de comunicación. Naturaleza del lenguaje: origen, desarrollo evolutivo y sus funciones. Relación lenguaje y pensamiento.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before="0" w:lineRule="auto"/>
        <w:ind w:left="720" w:right="140" w:hanging="360"/>
        <w:rPr/>
      </w:pPr>
      <w:r w:rsidDel="00000000" w:rsidR="00000000" w:rsidRPr="00000000">
        <w:rPr>
          <w:rtl w:val="0"/>
        </w:rPr>
        <w:t xml:space="preserve">Naturaleza y características de la motivación. Tipos de motivación y teorías explicativas. Los afectos y sus tipos (sentimiento, emoción y pasión). Bases neurológicas de la emoción. Teorías sobre la conducta emocional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before="0" w:lineRule="auto"/>
        <w:ind w:left="720" w:right="140" w:hanging="360"/>
        <w:rPr/>
      </w:pPr>
      <w:r w:rsidDel="00000000" w:rsidR="00000000" w:rsidRPr="00000000">
        <w:rPr>
          <w:rtl w:val="0"/>
        </w:rPr>
        <w:t xml:space="preserve">El estrés: causas y consecuencias. Estrategias de afrontar el estrés.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before="0" w:lineRule="auto"/>
        <w:ind w:left="720" w:right="140" w:hanging="360"/>
        <w:rPr/>
      </w:pPr>
      <w:r w:rsidDel="00000000" w:rsidR="00000000" w:rsidRPr="00000000">
        <w:rPr>
          <w:rtl w:val="0"/>
        </w:rPr>
        <w:t xml:space="preserve">Naturaleza y características de la personalidad. Trastornos de la personalidad. Naturaleza y dimensiones de la sexualidad. Fundamentos biológicos de la sexualidad. Fases de la respuesta sexual humana y las disfunciones sexuales. Funciones de la sexualidad y actitudes ante la misma. Trastornos psicosexuales.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before="0" w:lineRule="auto"/>
        <w:ind w:left="720" w:right="140" w:hanging="360"/>
        <w:rPr/>
      </w:pPr>
      <w:r w:rsidDel="00000000" w:rsidR="00000000" w:rsidRPr="00000000">
        <w:rPr>
          <w:rtl w:val="0"/>
        </w:rPr>
        <w:t xml:space="preserve">La psicología social y sus métodos de investigación. El proceso de socialización. Las actitudes: funciones, formación y cambio.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before="0" w:lineRule="auto"/>
        <w:ind w:left="720" w:right="140" w:hanging="360"/>
        <w:rPr/>
      </w:pPr>
      <w:r w:rsidDel="00000000" w:rsidR="00000000" w:rsidRPr="00000000">
        <w:rPr>
          <w:rtl w:val="0"/>
        </w:rPr>
        <w:t xml:space="preserve">Racismo y xenofobia. Los grupos: características y pensamiento grupal. Liderazgo político. Las relaciones sociales. La agresión y la conducta altruista.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before="0" w:lineRule="auto"/>
        <w:ind w:left="720" w:right="140" w:hanging="360"/>
        <w:rPr/>
      </w:pPr>
      <w:r w:rsidDel="00000000" w:rsidR="00000000" w:rsidRPr="00000000">
        <w:rPr>
          <w:rtl w:val="0"/>
        </w:rPr>
        <w:t xml:space="preserve">Psicología de masas. La empresa: recursos, agentes, objetivos y funciones. El trabajo: significado, funciones y el trabajo en equipo. Motivación en el trabajo y el liderazgo.  El departamento de recursos humanos. Psicopatología laboral </w:t>
      </w:r>
    </w:p>
    <w:p w:rsidR="00000000" w:rsidDel="00000000" w:rsidP="00000000" w:rsidRDefault="00000000" w:rsidRPr="00000000" w14:paraId="0000002C">
      <w:pPr>
        <w:pStyle w:val="Heading1"/>
        <w:numPr>
          <w:ilvl w:val="0"/>
          <w:numId w:val="2"/>
        </w:numPr>
        <w:ind w:left="708" w:right="140" w:hanging="708"/>
        <w:rPr>
          <w:sz w:val="36"/>
          <w:szCs w:val="36"/>
        </w:rPr>
      </w:pPr>
      <w:bookmarkStart w:colFirst="0" w:colLast="0" w:name="_heading=h.30j0zll" w:id="6"/>
      <w:bookmarkEnd w:id="6"/>
      <w:r w:rsidDel="00000000" w:rsidR="00000000" w:rsidRPr="00000000">
        <w:rPr>
          <w:sz w:val="36"/>
          <w:szCs w:val="36"/>
          <w:rtl w:val="0"/>
        </w:rPr>
        <w:t xml:space="preserve">Procedimientos e instrumentos de evaluación, junto con los criterios de calificación aplicables</w:t>
      </w:r>
    </w:p>
    <w:p w:rsidR="00000000" w:rsidDel="00000000" w:rsidP="00000000" w:rsidRDefault="00000000" w:rsidRPr="00000000" w14:paraId="0000002D">
      <w:pPr>
        <w:pStyle w:val="Heading2"/>
        <w:numPr>
          <w:ilvl w:val="1"/>
          <w:numId w:val="1"/>
        </w:numPr>
        <w:ind w:left="1440" w:right="140" w:hanging="360"/>
        <w:rPr/>
      </w:pPr>
      <w:bookmarkStart w:colFirst="0" w:colLast="0" w:name="_heading=h.2aqijsm5uz5" w:id="7"/>
      <w:bookmarkEnd w:id="7"/>
      <w:r w:rsidDel="00000000" w:rsidR="00000000" w:rsidRPr="00000000">
        <w:rPr>
          <w:rtl w:val="0"/>
        </w:rPr>
        <w:t xml:space="preserve">2.1. Instrumentos de evaluación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Para la evaluación ordinaria, se aplicarán los procedimientos y criterios de evaluación establecidos en los diferentes bloques de contenidos. Para evaluar el trabajo en equipo se diseñarán rúbricas específicas para identificar los niveles de trabajo y adquisición de los contenidos.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Especificamos a continuación situaciones de aprendizaje, técnicas y actividades que pondremos en práctica a lo largo del curso, atendiendo a su función didáctica. Cada unidad didáctica concreta estas técnicas y actividades dependiendo de los contenidos y de los criterios de evaluación de la unidad.</w:t>
      </w:r>
    </w:p>
    <w:tbl>
      <w:tblPr>
        <w:tblStyle w:val="Table1"/>
        <w:tblW w:w="9944.0" w:type="dxa"/>
        <w:jc w:val="left"/>
        <w:tblInd w:w="-217.00000000000003" w:type="dxa"/>
        <w:tblLayout w:type="fixed"/>
        <w:tblLook w:val="0600"/>
      </w:tblPr>
      <w:tblGrid>
        <w:gridCol w:w="2835"/>
        <w:gridCol w:w="7109"/>
        <w:tblGridChange w:id="0">
          <w:tblGrid>
            <w:gridCol w:w="2835"/>
            <w:gridCol w:w="710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dddddd" w:val="clear"/>
          </w:tcPr>
          <w:p w:rsidR="00000000" w:rsidDel="00000000" w:rsidP="00000000" w:rsidRDefault="00000000" w:rsidRPr="00000000" w14:paraId="00000030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Detección de conocimientos previos / introducción / motivación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32">
            <w:pPr>
              <w:spacing w:after="200" w:before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Técnica / actividad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33">
            <w:pPr>
              <w:spacing w:after="200" w:before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Función didáctica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34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Cuestionarios escritos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35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Saber cuáles son los conocimientos previos de cada alumno sobre un tema concreto.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36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Cuestionarios orales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37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Conocer, de manera global, la opinión mayoritaria previa acerca de un tema propuesto; no permite individuar las opiniones, pero es muy rápida.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38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Análisis de artículos de opinión, publicidad...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Detectar sesgos y opiniones previas mediante el análisis de fuentes no especializadas.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3A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Cuestionario sobre un texto / vídeo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3B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Contextualizar la unidad didáctica en un marco más amplio; detectar conocimientos previos; motivar en tema relacionándolo con aspectos de la vida cotidiana.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dddddd" w:val="clear"/>
          </w:tcPr>
          <w:p w:rsidR="00000000" w:rsidDel="00000000" w:rsidP="00000000" w:rsidRDefault="00000000" w:rsidRPr="00000000" w14:paraId="0000003C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Adquisición de nuevos contenidos / consolidación / síntesis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3E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Lectura y subrayado de los contenidos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3F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Permitir que el alumno se enfrente a los contenidos mediante la lectura, la cual puede complementarse con un guion de preguntas previas que el alumno debe contestar tras la lectura.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40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Preguntas breves de reflexión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41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Aplicar contenidos generales a situaciones particulares; desarrollar las capacidades de abstracción y relación.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42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Cuestionario sobre un texto / vídeo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Analizar el texto o el vídeo a la luz de los contenidos vistos en la unidad didáctica, bien de manera libre o contestando unas preguntas-guía.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44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Comentario de texto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45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Analizar las ideas principales y secundarias de un texto dado, así como su estructura expositiva o argumentativa.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46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Exposición oral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47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Organizar las ideas relevantes, sintetizando la información, para transmitirla de manera clara, técnica y amena.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48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Debate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49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Trabajar la argumentación y expresión oral.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4A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Elaboración de mapas conceptuales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4B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Sintetizar las ideas principales de un texto o un tema, mostrando gráficamente las relaciones entre las ideas.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4C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Búsqueda de información en fuentes diversas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4D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Habitúan al alumnado a afrontar y a resolver problemas con autonomía, a plantearse preguntas y a adquirir experiencia en la búsqueda y la consulta autónoma de fuentes especializadas.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4E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Proyecto de investigación (individual o cooperativo)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4F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Demostrar la capacidad de búsqueda de información, síntesis, exposición y organización de las ideas; también las de trabajo en equipo, si procede, y la exposición en público.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50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Fichas o exámenes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51">
            <w:pPr>
              <w:widowControl w:val="1"/>
              <w:spacing w:after="200" w:before="0" w:line="276" w:lineRule="auto"/>
              <w:ind w:right="14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Saber el nivel de conocimientos o el nivel de desarrollo de competencias del alumno.</w:t>
            </w:r>
          </w:p>
        </w:tc>
      </w:tr>
    </w:tbl>
    <w:p w:rsidR="00000000" w:rsidDel="00000000" w:rsidP="00000000" w:rsidRDefault="00000000" w:rsidRPr="00000000" w14:paraId="00000052">
      <w:pPr>
        <w:pStyle w:val="Heading2"/>
        <w:numPr>
          <w:ilvl w:val="1"/>
          <w:numId w:val="1"/>
        </w:numPr>
        <w:ind w:left="1440" w:right="140" w:hanging="360"/>
        <w:rPr/>
      </w:pPr>
      <w:bookmarkStart w:colFirst="0" w:colLast="0" w:name="_heading=h.8csbeuqovryv" w:id="8"/>
      <w:bookmarkEnd w:id="8"/>
      <w:r w:rsidDel="00000000" w:rsidR="00000000" w:rsidRPr="00000000">
        <w:rPr>
          <w:rtl w:val="0"/>
        </w:rPr>
        <w:t xml:space="preserve">2.2. Criterios de calificación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La calificación de la evaluación trimestral se obtendrá teniendo en cuenta los siguientes porcentajes. Cada evaluación, los alumnos elegirán </w:t>
      </w:r>
      <w:r w:rsidDel="00000000" w:rsidR="00000000" w:rsidRPr="00000000">
        <w:rPr>
          <w:b w:val="1"/>
          <w:rtl w:val="0"/>
        </w:rPr>
        <w:t xml:space="preserve">dos trabajos </w:t>
      </w:r>
      <w:r w:rsidDel="00000000" w:rsidR="00000000" w:rsidRPr="00000000">
        <w:rPr>
          <w:rtl w:val="0"/>
        </w:rPr>
        <w:t xml:space="preserve">de entre un conjunto de trabajos ofrecidos por la profesora; cada uno de ellos tendrá un peso del 20% de la nota del trimestre. Si el alumno/a lo desea, podrá realizar un trabajo extra para subir hasta 2 puntos la nota del trimestre.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Cada trimestre los alumnos realizarán </w:t>
      </w:r>
      <w:r w:rsidDel="00000000" w:rsidR="00000000" w:rsidRPr="00000000">
        <w:rPr>
          <w:b w:val="1"/>
          <w:rtl w:val="0"/>
        </w:rPr>
        <w:t xml:space="preserve">un examen</w:t>
      </w:r>
      <w:r w:rsidDel="00000000" w:rsidR="00000000" w:rsidRPr="00000000">
        <w:rPr>
          <w:rtl w:val="0"/>
        </w:rPr>
        <w:t xml:space="preserve"> de aplicación de los contenidos, de carácter competencial, que supondrá el 60% de la nota. Para este examen podrán traer apuntes caligrafiados, de máximo un folio por ambas caras por tema dado.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El redondeo se aplica a partir del X,51 (solo a partir del 5). Las notas menores de 5 se truncan. Este redonde solo sirve de cara al boletín trimestral y a la nota final del curso, puesto que la media de los 3 trimestres se calcula empleando las notas con dos decimales.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La nota final del curso se calculará realizando la media de la nota (con dos decimales) de lo obtenido en cada trimestre atendiendo a los siguientes porcentajes: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Primer trimestre: 30% de la nota final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Segundo trimestre: 30% de la nota final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Tercer trimestre: 40% de la nota final</w:t>
      </w:r>
    </w:p>
    <w:p w:rsidR="00000000" w:rsidDel="00000000" w:rsidP="00000000" w:rsidRDefault="00000000" w:rsidRPr="00000000" w14:paraId="0000005A">
      <w:pPr>
        <w:pStyle w:val="Heading3"/>
        <w:numPr>
          <w:ilvl w:val="2"/>
          <w:numId w:val="1"/>
        </w:numPr>
        <w:ind w:left="2160" w:right="140" w:hanging="360"/>
        <w:rPr/>
      </w:pPr>
      <w:bookmarkStart w:colFirst="0" w:colLast="0" w:name="_heading=h.fzvbjatyr74b" w:id="9"/>
      <w:bookmarkEnd w:id="9"/>
      <w:r w:rsidDel="00000000" w:rsidR="00000000" w:rsidRPr="00000000">
        <w:rPr>
          <w:rtl w:val="0"/>
        </w:rPr>
        <w:t xml:space="preserve">Procedimiento de recuperación de evaluaciones pendientes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Si un alumno suspende la 1ª o la 2ª evaluación, el alumno podrá repetir los trabajos o el examen, pero no ambos a la vez. La nota resultante será la de aplicar los porcentajes habituales, modificando la nota de la prueba que se realiza.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Si el alumno suspende la 3ª evaluación, se presentará a la convocatoria final ordinaria en las fechas destinadas para ello, examinándose únicamente de las evaluaciones pendientes, mediante una prueba escrita que abarque los contenidos y competencias suspensos. Hará media con el resto de evaluaciones, si las tuviera aprobadas. Si no aprobase la materia en la convocatoria ordinaria, tendrá que presentarse a un examen de toda la materia en la convocatoria extraordinaria en las fechas establecidas por el centro.</w:t>
      </w:r>
    </w:p>
    <w:p w:rsidR="00000000" w:rsidDel="00000000" w:rsidP="00000000" w:rsidRDefault="00000000" w:rsidRPr="00000000" w14:paraId="0000005D">
      <w:pPr>
        <w:pStyle w:val="Heading3"/>
        <w:numPr>
          <w:ilvl w:val="2"/>
          <w:numId w:val="1"/>
        </w:numPr>
        <w:ind w:left="2160" w:right="140" w:hanging="360"/>
        <w:rPr/>
      </w:pPr>
      <w:bookmarkStart w:colFirst="0" w:colLast="0" w:name="_heading=h.rej17gi22g4w" w:id="10"/>
      <w:bookmarkEnd w:id="10"/>
      <w:r w:rsidDel="00000000" w:rsidR="00000000" w:rsidRPr="00000000">
        <w:rPr>
          <w:rtl w:val="0"/>
        </w:rPr>
        <w:t xml:space="preserve">Medidas de apoyo y/o refuerzo educativo a lo largo del curso académico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Cuando el progreso del alumno no sea el adecuado tras el proceso de evaluación continua, se establecerán medidas personalizadas de apoyo y refuerzo, especificando contenidos, actividades, temporalización, materiales, adecuación a la modalidad de apoyo (grupos flexibles, individualizado, etc.). Se concretará cómo se recuperan las evaluaciones pendientes del mismo curso académico.</w:t>
      </w:r>
    </w:p>
    <w:p w:rsidR="00000000" w:rsidDel="00000000" w:rsidP="00000000" w:rsidRDefault="00000000" w:rsidRPr="00000000" w14:paraId="0000005F">
      <w:pPr>
        <w:pStyle w:val="Heading3"/>
        <w:numPr>
          <w:ilvl w:val="2"/>
          <w:numId w:val="1"/>
        </w:numPr>
        <w:ind w:left="2160" w:right="140" w:hanging="360"/>
        <w:rPr/>
      </w:pPr>
      <w:bookmarkStart w:colFirst="0" w:colLast="0" w:name="_heading=h.e7d4iexennw1" w:id="11"/>
      <w:bookmarkEnd w:id="11"/>
      <w:r w:rsidDel="00000000" w:rsidR="00000000" w:rsidRPr="00000000">
        <w:rPr>
          <w:rtl w:val="0"/>
        </w:rPr>
        <w:t xml:space="preserve">Alumnado al que se desaplica la evaluación continua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Los alumnos que pierdan la evaluación continua deberán entregar los trabajos para la superación de la materia, así como presentarse al examen global.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1"/>
        <w:numPr>
          <w:ilvl w:val="0"/>
          <w:numId w:val="2"/>
        </w:numPr>
        <w:ind w:left="708" w:right="140" w:hanging="708"/>
        <w:rPr>
          <w:sz w:val="36"/>
          <w:szCs w:val="36"/>
        </w:rPr>
      </w:pPr>
      <w:bookmarkStart w:colFirst="0" w:colLast="0" w:name="_heading=h.3znysh7" w:id="12"/>
      <w:bookmarkEnd w:id="12"/>
      <w:r w:rsidDel="00000000" w:rsidR="00000000" w:rsidRPr="00000000">
        <w:rPr>
          <w:sz w:val="36"/>
          <w:szCs w:val="36"/>
          <w:rtl w:val="0"/>
        </w:rPr>
        <w:t xml:space="preserve">Estructura de las pruebas extraordinarias y sus criterios de calificación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1"/>
        <w:spacing w:after="200" w:before="0" w:line="276" w:lineRule="auto"/>
        <w:ind w:right="140"/>
        <w:jc w:val="left"/>
        <w:rPr/>
      </w:pPr>
      <w:r w:rsidDel="00000000" w:rsidR="00000000" w:rsidRPr="00000000">
        <w:rPr>
          <w:rtl w:val="0"/>
        </w:rPr>
        <w:t xml:space="preserve">Las pruebas extraordinarias constarán de un examen de todos los contenidos mínimos del curso, en el que se combinará el examen tipo test, las preguntas de desarrollo y las preguntas de aplicación. La nota obtenida en el curso será la obtenida en el examen de recuperación extraordinaria.</w:t>
      </w:r>
    </w:p>
    <w:sectPr>
      <w:footerReference r:id="rId8" w:type="default"/>
      <w:footerReference r:id="rId9" w:type="first"/>
      <w:footerReference r:id="rId10" w:type="even"/>
      <w:pgSz w:h="16838" w:w="11906" w:orient="portrait"/>
      <w:pgMar w:bottom="1191" w:top="624" w:left="1531" w:right="1247" w:header="0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14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ind w:left="-993" w:right="-851" w:firstLine="0"/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ind w:left="-993" w:right="-851" w:firstLine="0"/>
      <w:jc w:val="center"/>
      <w:rPr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Pag. </w:t>
    </w:r>
    <w:r w:rsidDel="00000000" w:rsidR="00000000" w:rsidRPr="00000000">
      <w:rPr>
        <w:rFonts w:ascii="Arial" w:cs="Arial" w:eastAsia="Arial" w:hAnsi="Arial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tabs>
        <w:tab w:val="center" w:leader="none" w:pos="4252"/>
        <w:tab w:val="right" w:leader="none" w:pos="8504"/>
      </w:tabs>
      <w:spacing w:after="0" w:before="0" w:line="240" w:lineRule="auto"/>
      <w:ind w:right="0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ind w:left="-993" w:right="-851" w:firstLine="0"/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ind w:left="-993" w:right="-851" w:firstLine="0"/>
      <w:jc w:val="center"/>
      <w:rPr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Pag. </w:t>
    </w:r>
    <w:r w:rsidDel="00000000" w:rsidR="00000000" w:rsidRPr="00000000">
      <w:rPr>
        <w:rFonts w:ascii="Arial" w:cs="Arial" w:eastAsia="Arial" w:hAnsi="Arial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tabs>
        <w:tab w:val="center" w:leader="none" w:pos="4252"/>
        <w:tab w:val="right" w:leader="none" w:pos="8504"/>
      </w:tabs>
      <w:spacing w:after="0" w:before="0" w:line="240" w:lineRule="auto"/>
      <w:ind w:right="0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08" w:hanging="708"/>
      </w:pPr>
      <w:rPr>
        <w:u w:val="none"/>
      </w:rPr>
    </w:lvl>
    <w:lvl w:ilvl="1">
      <w:start w:val="1"/>
      <w:numFmt w:val="decimal"/>
      <w:lvlText w:val="%1.%2."/>
      <w:lvlJc w:val="left"/>
      <w:pPr>
        <w:ind w:left="1416" w:hanging="708"/>
      </w:pPr>
      <w:rPr>
        <w:u w:val="none"/>
      </w:rPr>
    </w:lvl>
    <w:lvl w:ilvl="2">
      <w:start w:val="1"/>
      <w:numFmt w:val="decimal"/>
      <w:lvlText w:val="%1.%2.%3."/>
      <w:lvlJc w:val="left"/>
      <w:pPr>
        <w:ind w:left="2124" w:hanging="707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32" w:hanging="70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3540" w:hanging="708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4248" w:hanging="708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6372" w:hanging="707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_tradnl"/>
      </w:rPr>
    </w:rPrDefault>
    <w:pPrDefault>
      <w:pPr>
        <w:spacing w:after="200" w:line="276" w:lineRule="auto"/>
        <w:ind w:right="14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rFonts w:ascii="Arial" w:cs="Arial" w:eastAsia="Arial" w:hAnsi="Arial"/>
      <w:b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360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360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7">
    <w:name w:val="heading 7"/>
    <w:basedOn w:val="Normal"/>
    <w:next w:val="Normal"/>
    <w:link w:val="Ttulo7Car"/>
    <w:qFormat w:val="1"/>
    <w:rsid w:val="00EC473E"/>
    <w:pPr>
      <w:numPr>
        <w:ilvl w:val="6"/>
        <w:numId w:val="1"/>
      </w:numPr>
      <w:spacing w:after="60" w:before="24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Ttulo8Car"/>
    <w:qFormat w:val="1"/>
    <w:rsid w:val="00EC473E"/>
    <w:pPr>
      <w:numPr>
        <w:ilvl w:val="7"/>
        <w:numId w:val="1"/>
      </w:numPr>
      <w:spacing w:after="60" w:before="240"/>
      <w:outlineLvl w:val="7"/>
    </w:pPr>
    <w:rPr>
      <w:rFonts w:ascii="Arial" w:hAnsi="Arial"/>
      <w:i w:val="1"/>
    </w:rPr>
  </w:style>
  <w:style w:type="paragraph" w:styleId="Heading9">
    <w:name w:val="heading 9"/>
    <w:basedOn w:val="Normal"/>
    <w:next w:val="Normal"/>
    <w:link w:val="Ttulo9Car"/>
    <w:qFormat w:val="1"/>
    <w:rsid w:val="00EC473E"/>
    <w:pPr>
      <w:numPr>
        <w:ilvl w:val="8"/>
        <w:numId w:val="1"/>
      </w:numPr>
      <w:spacing w:after="60" w:before="240"/>
      <w:outlineLvl w:val="8"/>
    </w:pPr>
    <w:rPr>
      <w:rFonts w:ascii="Arial" w:hAnsi="Arial"/>
      <w:b w:val="1"/>
      <w:i w:val="1"/>
      <w:sz w:val="18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EnlacedeInternetuser" w:customStyle="1">
    <w:name w:val="Enlace de Internet (user)"/>
    <w:uiPriority w:val="99"/>
    <w:qFormat w:val="1"/>
    <w:rsid w:val="003A6C23"/>
    <w:rPr>
      <w:color w:val="0000ff"/>
      <w:u w:val="single"/>
    </w:rPr>
  </w:style>
  <w:style w:type="character" w:styleId="TextodegloboCar" w:customStyle="1">
    <w:name w:val="Texto de globo Car"/>
    <w:link w:val="BalloonText"/>
    <w:qFormat w:val="1"/>
    <w:rsid w:val="00C61B13"/>
    <w:rPr>
      <w:rFonts w:ascii="Tahoma" w:cs="Tahoma" w:hAnsi="Tahoma"/>
      <w:sz w:val="16"/>
      <w:szCs w:val="16"/>
      <w:lang w:val="es-ES_tradnl"/>
    </w:rPr>
  </w:style>
  <w:style w:type="character" w:styleId="Ttulo1Car" w:customStyle="1">
    <w:name w:val="Título 1 Car"/>
    <w:qFormat w:val="1"/>
    <w:rsid w:val="00EC473E"/>
    <w:rPr>
      <w:rFonts w:ascii="Arial" w:hAnsi="Arial"/>
      <w:b w:val="1"/>
      <w:kern w:val="2"/>
      <w:sz w:val="28"/>
      <w:lang w:val="es-ES_tradnl"/>
    </w:rPr>
  </w:style>
  <w:style w:type="character" w:styleId="Ttulo2Car" w:customStyle="1">
    <w:name w:val="Título 2 Car"/>
    <w:qFormat w:val="1"/>
    <w:rsid w:val="00EC473E"/>
    <w:rPr>
      <w:rFonts w:ascii="Arial" w:hAnsi="Arial"/>
      <w:b w:val="1"/>
      <w:i w:val="1"/>
      <w:sz w:val="24"/>
      <w:lang w:val="es-ES_tradnl"/>
    </w:rPr>
  </w:style>
  <w:style w:type="character" w:styleId="Ttulo3Car" w:customStyle="1">
    <w:name w:val="Título 3 Car"/>
    <w:qFormat w:val="1"/>
    <w:rsid w:val="00EC473E"/>
    <w:rPr>
      <w:rFonts w:ascii="Arial" w:hAnsi="Arial"/>
      <w:sz w:val="24"/>
      <w:lang w:val="es-ES_tradnl"/>
    </w:rPr>
  </w:style>
  <w:style w:type="character" w:styleId="Ttulo4Car" w:customStyle="1">
    <w:name w:val="Título 4 Car"/>
    <w:qFormat w:val="1"/>
    <w:rsid w:val="00EC473E"/>
    <w:rPr>
      <w:rFonts w:ascii="Arial" w:hAnsi="Arial"/>
      <w:b w:val="1"/>
      <w:sz w:val="24"/>
      <w:lang w:val="es-ES_tradnl"/>
    </w:rPr>
  </w:style>
  <w:style w:type="character" w:styleId="Ttulo5Car" w:customStyle="1">
    <w:name w:val="Título 5 Car"/>
    <w:qFormat w:val="1"/>
    <w:rsid w:val="00EC473E"/>
    <w:rPr>
      <w:rFonts w:ascii="Arial" w:hAnsi="Arial"/>
      <w:sz w:val="22"/>
      <w:lang w:val="es-ES_tradnl"/>
    </w:rPr>
  </w:style>
  <w:style w:type="character" w:styleId="Ttulo6Car" w:customStyle="1">
    <w:name w:val="Título 6 Car"/>
    <w:qFormat w:val="1"/>
    <w:rsid w:val="00EC473E"/>
    <w:rPr>
      <w:i w:val="1"/>
      <w:sz w:val="22"/>
      <w:lang w:val="es-ES_tradnl"/>
    </w:rPr>
  </w:style>
  <w:style w:type="character" w:styleId="Ttulo7Car" w:customStyle="1">
    <w:name w:val="Título 7 Car"/>
    <w:qFormat w:val="1"/>
    <w:rsid w:val="00EC473E"/>
    <w:rPr>
      <w:rFonts w:ascii="Arial" w:hAnsi="Arial"/>
      <w:lang w:val="es-ES_tradnl"/>
    </w:rPr>
  </w:style>
  <w:style w:type="character" w:styleId="Ttulo8Car" w:customStyle="1">
    <w:name w:val="Título 8 Car"/>
    <w:qFormat w:val="1"/>
    <w:rsid w:val="00EC473E"/>
    <w:rPr>
      <w:rFonts w:ascii="Arial" w:hAnsi="Arial"/>
      <w:i w:val="1"/>
      <w:lang w:val="es-ES_tradnl"/>
    </w:rPr>
  </w:style>
  <w:style w:type="character" w:styleId="Ttulo9Car" w:customStyle="1">
    <w:name w:val="Título 9 Car"/>
    <w:qFormat w:val="1"/>
    <w:rsid w:val="00EC473E"/>
    <w:rPr>
      <w:rFonts w:ascii="Arial" w:hAnsi="Arial"/>
      <w:b w:val="1"/>
      <w:i w:val="1"/>
      <w:sz w:val="18"/>
      <w:lang w:val="es-ES_tradnl"/>
    </w:rPr>
  </w:style>
  <w:style w:type="character" w:styleId="TextoindependienteCar" w:customStyle="1">
    <w:name w:val="Texto independiente Car"/>
    <w:basedOn w:val="DefaultParagraphFont"/>
    <w:semiHidden w:val="1"/>
    <w:qFormat w:val="1"/>
    <w:rsid w:val="00960324"/>
    <w:rPr>
      <w:sz w:val="24"/>
      <w:szCs w:val="24"/>
    </w:rPr>
  </w:style>
  <w:style w:type="character" w:styleId="TextonotapieCar" w:customStyle="1">
    <w:name w:val="Texto nota pie Car"/>
    <w:basedOn w:val="DefaultParagraphFont"/>
    <w:uiPriority w:val="99"/>
    <w:semiHidden w:val="1"/>
    <w:qFormat w:val="1"/>
    <w:rsid w:val="00794A24"/>
    <w:rPr>
      <w:lang w:val="es-ES_tradnl"/>
    </w:rPr>
  </w:style>
  <w:style w:type="character" w:styleId="Ancladenotaalpieuser" w:customStyle="1">
    <w:name w:val="Ancla de nota al pie (user)"/>
    <w:qFormat w:val="1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 w:val="1"/>
    <w:unhideWhenUsed w:val="1"/>
    <w:qFormat w:val="1"/>
    <w:rsid w:val="00794A24"/>
    <w:rPr>
      <w:vertAlign w:val="superscript"/>
    </w:rPr>
  </w:style>
  <w:style w:type="character" w:styleId="Enlacedelndiceuser" w:customStyle="1">
    <w:name w:val="Enlace del índice (user)"/>
    <w:qFormat w:val="1"/>
    <w:rPr/>
  </w:style>
  <w:style w:type="character" w:styleId="Smbolosdenumeracinuser" w:customStyle="1">
    <w:name w:val="Símbolos de numeración (user)"/>
    <w:qFormat w:val="1"/>
    <w:rPr/>
  </w:style>
  <w:style w:type="character" w:styleId="Vietas" w:customStyle="1">
    <w:name w:val="Viñetas"/>
    <w:qFormat w:val="1"/>
    <w:rPr>
      <w:rFonts w:ascii="OpenSymbol" w:cs="OpenSymbol" w:eastAsia="OpenSymbol" w:hAnsi="OpenSymbol"/>
    </w:rPr>
  </w:style>
  <w:style w:type="character" w:styleId="Hyperlink">
    <w:name w:val="Hyperlink"/>
    <w:rPr>
      <w:color w:val="000080"/>
      <w:u w:val="single"/>
    </w:rPr>
  </w:style>
  <w:style w:type="character" w:styleId="Enlacedelndice">
    <w:name w:val="Enlace del índice"/>
    <w:qFormat w:val="1"/>
    <w:rPr/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link w:val="TextoindependienteCar"/>
    <w:semiHidden w:val="1"/>
    <w:rsid w:val="00960324"/>
    <w:pPr>
      <w:spacing w:after="113" w:before="0"/>
      <w:jc w:val="both"/>
    </w:pPr>
    <w:rPr>
      <w:sz w:val="24"/>
      <w:szCs w:val="24"/>
      <w:lang w:val="es-ES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Free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ndiceuser" w:customStyle="1">
    <w:name w:val="Índice (user)"/>
    <w:basedOn w:val="Normal"/>
    <w:qFormat w:val="1"/>
    <w:pPr>
      <w:suppressLineNumbers w:val="1"/>
    </w:pPr>
    <w:rPr>
      <w:rFonts w:cs="FreeSans"/>
    </w:rPr>
  </w:style>
  <w:style w:type="paragraph" w:styleId="membrete" w:customStyle="1">
    <w:name w:val="membrete"/>
    <w:basedOn w:val="Normal"/>
    <w:qFormat w:val="1"/>
    <w:rsid w:val="003A6C23"/>
    <w:pPr/>
    <w:rPr/>
  </w:style>
  <w:style w:type="paragraph" w:styleId="Cabeceraypie">
    <w:name w:val="Cabecera y pie"/>
    <w:basedOn w:val="Normal"/>
    <w:qFormat w:val="1"/>
    <w:pPr/>
    <w:rPr/>
  </w:style>
  <w:style w:type="paragraph" w:styleId="Header">
    <w:name w:val="header"/>
    <w:basedOn w:val="Normal"/>
    <w:rsid w:val="003A6C23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Footer">
    <w:name w:val="footer"/>
    <w:basedOn w:val="Normal"/>
    <w:rsid w:val="003A6C23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BalloonText">
    <w:name w:val="Balloon Text"/>
    <w:basedOn w:val="Normal"/>
    <w:link w:val="TextodegloboCar"/>
    <w:qFormat w:val="1"/>
    <w:rsid w:val="00C61B13"/>
    <w:pPr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D60FF3"/>
    <w:pPr>
      <w:ind w:left="708"/>
    </w:pPr>
    <w:rPr/>
  </w:style>
  <w:style w:type="paragraph" w:styleId="TOC2">
    <w:name w:val="toc 2"/>
    <w:basedOn w:val="Normal"/>
    <w:next w:val="Normal"/>
    <w:autoRedefine w:val="1"/>
    <w:uiPriority w:val="39"/>
    <w:qFormat w:val="1"/>
    <w:rsid w:val="00EC473E"/>
    <w:pPr>
      <w:tabs>
        <w:tab w:val="clear" w:pos="720"/>
        <w:tab w:val="right" w:leader="underscore" w:pos="9355"/>
      </w:tabs>
      <w:spacing w:after="0" w:before="120"/>
      <w:ind w:left="200"/>
    </w:pPr>
    <w:rPr>
      <w:b w:val="1"/>
      <w:sz w:val="22"/>
    </w:rPr>
  </w:style>
  <w:style w:type="paragraph" w:styleId="TOC1">
    <w:name w:val="toc 1"/>
    <w:basedOn w:val="Normal"/>
    <w:next w:val="Normal"/>
    <w:autoRedefine w:val="1"/>
    <w:uiPriority w:val="39"/>
    <w:qFormat w:val="1"/>
    <w:rsid w:val="007D3302"/>
    <w:pPr/>
    <w:rPr>
      <w:sz w:val="24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7D3302"/>
    <w:pPr>
      <w:keepLines w:val="1"/>
      <w:numPr>
        <w:ilvl w:val="0"/>
        <w:numId w:val="0"/>
      </w:numPr>
      <w:spacing w:after="0" w:before="480"/>
    </w:pPr>
    <w:rPr>
      <w:rFonts w:ascii="Cambria" w:hAnsi="Cambria"/>
      <w:bCs w:val="1"/>
      <w:color w:val="365f91"/>
      <w:kern w:val="0"/>
      <w:szCs w:val="28"/>
      <w:lang w:eastAsia="en-US" w:val="es-ES"/>
    </w:rPr>
  </w:style>
  <w:style w:type="paragraph" w:styleId="TOC3">
    <w:name w:val="toc 3"/>
    <w:basedOn w:val="Normal"/>
    <w:next w:val="Normal"/>
    <w:autoRedefine w:val="1"/>
    <w:uiPriority w:val="39"/>
    <w:unhideWhenUsed w:val="1"/>
    <w:qFormat w:val="1"/>
    <w:rsid w:val="007D3302"/>
    <w:pPr>
      <w:spacing w:after="100" w:before="0"/>
      <w:ind w:left="440"/>
    </w:pPr>
    <w:rPr>
      <w:rFonts w:ascii="Calibri" w:hAnsi="Calibri"/>
      <w:sz w:val="22"/>
      <w:szCs w:val="22"/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626477"/>
    <w:pPr>
      <w:widowControl w:val="0"/>
      <w:ind w:left="103"/>
    </w:pPr>
    <w:rPr>
      <w:rFonts w:ascii="Arial" w:cs="Arial" w:eastAsia="Arial" w:hAnsi="Arial"/>
      <w:sz w:val="22"/>
      <w:szCs w:val="22"/>
      <w:lang w:eastAsia="en-US" w:val="en-US"/>
    </w:rPr>
  </w:style>
  <w:style w:type="paragraph" w:styleId="FootnoteText">
    <w:name w:val="footnote text"/>
    <w:basedOn w:val="Normal"/>
    <w:link w:val="TextonotapieCar"/>
    <w:uiPriority w:val="99"/>
    <w:semiHidden w:val="1"/>
    <w:unhideWhenUsed w:val="1"/>
    <w:rsid w:val="00794A24"/>
    <w:pPr/>
    <w:rPr/>
  </w:style>
  <w:style w:type="paragraph" w:styleId="Standard" w:customStyle="1">
    <w:name w:val="Standard"/>
    <w:qFormat w:val="1"/>
    <w:rsid w:val="009159B5"/>
    <w:pPr>
      <w:widowControl w:val="1"/>
      <w:suppressAutoHyphens w:val="1"/>
      <w:bidi w:val="0"/>
      <w:spacing w:after="200" w:before="0" w:line="276" w:lineRule="auto"/>
      <w:ind w:right="140"/>
      <w:jc w:val="left"/>
      <w:textAlignment w:val="baseline"/>
    </w:pPr>
    <w:rPr>
      <w:rFonts w:ascii="Liberation Serif" w:cs="Lucida Sans" w:eastAsia="NSimSun" w:hAnsi="Liberation Serif"/>
      <w:color w:val="auto"/>
      <w:kern w:val="2"/>
      <w:sz w:val="24"/>
      <w:szCs w:val="24"/>
      <w:lang w:bidi="hi-IN" w:eastAsia="zh-CN" w:val="es-ES"/>
    </w:rPr>
  </w:style>
  <w:style w:type="paragraph" w:styleId="Footnote" w:customStyle="1">
    <w:name w:val="Footnote"/>
    <w:basedOn w:val="Standard"/>
    <w:qFormat w:val="1"/>
    <w:rsid w:val="009159B5"/>
    <w:pPr>
      <w:suppressLineNumbers w:val="1"/>
      <w:ind w:left="339" w:hanging="339"/>
    </w:pPr>
    <w:rPr>
      <w:sz w:val="20"/>
      <w:szCs w:val="20"/>
    </w:rPr>
  </w:style>
  <w:style w:type="paragraph" w:styleId="Contenidodelmarcouser" w:customStyle="1">
    <w:name w:val="Contenido del marco (user)"/>
    <w:basedOn w:val="Normal"/>
    <w:qFormat w:val="1"/>
    <w:pPr/>
    <w:rPr/>
  </w:style>
  <w:style w:type="paragraph" w:styleId="Contenidodelatablauser" w:customStyle="1">
    <w:name w:val="Contenido de la tabla (user)"/>
    <w:basedOn w:val="Normal"/>
    <w:qFormat w:val="1"/>
    <w:pPr>
      <w:suppressLineNumbers w:val="1"/>
    </w:pPr>
    <w:rPr/>
  </w:style>
  <w:style w:type="paragraph" w:styleId="Ttulodelatablauser" w:customStyle="1">
    <w:name w:val="Título de la tabla (user)"/>
    <w:basedOn w:val="Contenidodelatablauser"/>
    <w:qFormat w:val="1"/>
    <w:pPr>
      <w:jc w:val="center"/>
    </w:pPr>
    <w:rPr>
      <w:b w:val="1"/>
      <w:bCs w:val="1"/>
    </w:rPr>
  </w:style>
  <w:style w:type="paragraph" w:styleId="Contenidodelmarco">
    <w:name w:val="Contenido del marco"/>
    <w:basedOn w:val="Normal"/>
    <w:qFormat w:val="1"/>
    <w:pPr/>
    <w:rPr/>
  </w:style>
  <w:style w:type="paragraph" w:styleId="TOC4">
    <w:name w:val="toc 4"/>
    <w:basedOn w:val="ndice"/>
    <w:pPr/>
    <w:rPr/>
  </w:style>
  <w:style w:type="paragraph" w:styleId="TOC5">
    <w:name w:val="toc 5"/>
    <w:basedOn w:val="ndice"/>
    <w:pPr/>
    <w:rPr/>
  </w:style>
  <w:style w:type="paragraph" w:styleId="TOC6">
    <w:name w:val="toc 6"/>
    <w:basedOn w:val="ndice"/>
    <w:pPr/>
    <w:rPr/>
  </w:style>
  <w:style w:type="paragraph" w:styleId="TOC7">
    <w:name w:val="toc 7"/>
    <w:basedOn w:val="ndice"/>
    <w:pPr/>
    <w:rPr/>
  </w:style>
  <w:style w:type="paragraph" w:styleId="TOC8">
    <w:name w:val="toc 8"/>
    <w:basedOn w:val="ndice"/>
    <w:pPr/>
    <w:rPr/>
  </w:style>
  <w:style w:type="paragraph" w:styleId="TOC9">
    <w:name w:val="toc 9"/>
    <w:basedOn w:val="ndice"/>
    <w:pPr/>
    <w:rPr/>
  </w:style>
  <w:style w:type="numbering" w:styleId="Ningunalista" w:default="1">
    <w:name w:val="Ninguna lista"/>
    <w:uiPriority w:val="99"/>
    <w:semiHidden w:val="1"/>
    <w:unhideWhenUsed w:val="1"/>
    <w:qFormat w:val="1"/>
  </w:style>
  <w:style w:type="table" w:styleId="Tab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uiPriority w:val="59"/>
    <w:rsid w:val="006A297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jc w:val="right"/>
    </w:pPr>
    <w:rPr>
      <w:rFonts w:ascii="Playfair Display" w:cs="Playfair Display" w:eastAsia="Playfair Display" w:hAnsi="Playfair Display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kh3npQXcskJ7b0DUYFKn6KWxnA==">CgMxLjAyDmguNDFna3YyNW1odzBlMg1oLjY5b2Nrcm04d2VjMg5oLmV4bjR2OGdjcTZ3eDIOaC55NnVycjlwN210ejgyDmguajU2cGFyYml3Z3VxMghoLmdqZGd4czIJaC4zMGowemxsMg1oLjJhcWlqc201dXo1Mg5oLjhjc2JldXFvdnJ5djIOaC5menZiamF0eXI3NGIyDmgucmVqMTdnaTIyZzR3Mg5oLmU3ZDRpZXhlbm53MTIJaC4zem55c2g3OAByITFZa3lWT1ZPcXU5d2prU1RhdEZybGV6Yk5sMUpEaWct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2021-09-14T17:10:00Z</dcterms:created>
  <dc:creator>pc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