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3" w:firstLine="0"/>
        <w:rPr>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22"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723900" cy="63436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-345756</wp:posOffset>
                </wp:positionH>
                <wp:positionV relativeFrom="paragraph">
                  <wp:posOffset>-26351</wp:posOffset>
                </wp:positionV>
                <wp:extent cx="311785" cy="620395"/>
                <wp:effectExtent b="0" l="0" r="0" t="0"/>
                <wp:wrapNone/>
                <wp:docPr id="21" name=""/>
                <a:graphic>
                  <a:graphicData uri="http://schemas.microsoft.com/office/word/2010/wordprocessingShape">
                    <wps:wsp>
                      <wps:cNvSpPr/>
                      <wps:cNvPr id="2" name="Shape 2"/>
                      <wps:spPr>
                        <a:xfrm rot="-5400000">
                          <a:off x="5040565" y="3628870"/>
                          <a:ext cx="610870" cy="302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-345756</wp:posOffset>
                </wp:positionH>
                <wp:positionV relativeFrom="paragraph">
                  <wp:posOffset>-26351</wp:posOffset>
                </wp:positionV>
                <wp:extent cx="311785" cy="620395"/>
                <wp:effectExtent b="0" l="0" r="0" t="0"/>
                <wp:wrapNone/>
                <wp:docPr id="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1785" cy="620395"/>
                        </a:xfrm>
                        <a:prstGeom prst="rect"/>
                        <a:ln/>
                      </pic:spPr>
                    </pic:pic>
                  </a:graphicData>
                </a:graphic>
              </wp:anchor>
            </w:drawing>
          </mc:Fallback>
        </mc:AlternateContent>
      </w:r>
    </w:p>
    <w:p w:rsidR="00000000" w:rsidDel="00000000" w:rsidP="00000000" w:rsidRDefault="00000000" w:rsidRPr="00000000" w14:paraId="00000002">
      <w:pPr>
        <w:ind w:left="213" w:firstLine="0"/>
        <w:rPr>
          <w:sz w:val="22"/>
          <w:szCs w:val="22"/>
        </w:rPr>
      </w:pPr>
      <w:r w:rsidDel="00000000" w:rsidR="00000000" w:rsidRPr="00000000">
        <w:rPr>
          <w:rtl w:val="0"/>
        </w:rPr>
      </w:r>
    </w:p>
    <w:p w:rsidR="00000000" w:rsidDel="00000000" w:rsidP="00000000" w:rsidRDefault="00000000" w:rsidRPr="00000000" w14:paraId="00000003">
      <w:pPr>
        <w:ind w:left="213" w:firstLine="0"/>
        <w:rPr>
          <w:b w:val="1"/>
          <w:sz w:val="32"/>
          <w:szCs w:val="32"/>
        </w:rPr>
      </w:pPr>
      <w:r w:rsidDel="00000000" w:rsidR="00000000" w:rsidRPr="00000000">
        <w:rPr>
          <w:sz w:val="22"/>
          <w:szCs w:val="22"/>
          <w:rtl w:val="0"/>
        </w:rPr>
        <w:t xml:space="preserve">IES</w:t>
      </w:r>
      <w:r w:rsidDel="00000000" w:rsidR="00000000" w:rsidRPr="00000000">
        <w:rPr>
          <w:b w:val="1"/>
          <w:sz w:val="32"/>
          <w:szCs w:val="32"/>
          <w:rtl w:val="0"/>
        </w:rPr>
        <w:t xml:space="preserve"> Josefina Aldecoa</w:t>
      </w:r>
    </w:p>
    <w:p w:rsidR="00000000" w:rsidDel="00000000" w:rsidP="00000000" w:rsidRDefault="00000000" w:rsidRPr="00000000" w14:paraId="00000004">
      <w:pPr>
        <w:ind w:left="213" w:firstLine="0"/>
        <w:rPr>
          <w:b w:val="1"/>
          <w:sz w:val="32"/>
          <w:szCs w:val="32"/>
        </w:rPr>
      </w:pPr>
      <w:r w:rsidDel="00000000" w:rsidR="00000000" w:rsidRPr="00000000">
        <w:rPr>
          <w:rtl w:val="0"/>
        </w:rPr>
      </w:r>
    </w:p>
    <w:p w:rsidR="00000000" w:rsidDel="00000000" w:rsidP="00000000" w:rsidRDefault="00000000" w:rsidRPr="00000000" w14:paraId="00000005">
      <w:pPr>
        <w:spacing w:after="280" w:before="280" w:lineRule="auto"/>
        <w:ind w:left="851" w:firstLine="0"/>
        <w:jc w:val="center"/>
        <w:rPr>
          <w:sz w:val="22"/>
          <w:szCs w:val="22"/>
        </w:rPr>
      </w:pPr>
      <w:r w:rsidDel="00000000" w:rsidR="00000000" w:rsidRPr="00000000">
        <w:rPr>
          <w:sz w:val="22"/>
          <w:szCs w:val="22"/>
          <w:rtl w:val="0"/>
        </w:rPr>
        <w:t xml:space="preserve">Informativo_Programación</w:t>
      </w:r>
    </w:p>
    <w:p w:rsidR="00000000" w:rsidDel="00000000" w:rsidP="00000000" w:rsidRDefault="00000000" w:rsidRPr="00000000" w14:paraId="00000006">
      <w:pPr>
        <w:spacing w:after="280" w:before="280" w:lineRule="auto"/>
        <w:ind w:left="851" w:firstLine="0"/>
        <w:rPr>
          <w:sz w:val="22"/>
          <w:szCs w:val="22"/>
        </w:rPr>
      </w:pPr>
      <w:r w:rsidDel="00000000" w:rsidR="00000000" w:rsidRPr="00000000">
        <w:rPr>
          <w:rtl w:val="0"/>
        </w:rPr>
      </w:r>
    </w:p>
    <w:p w:rsidR="00000000" w:rsidDel="00000000" w:rsidP="00000000" w:rsidRDefault="00000000" w:rsidRPr="00000000" w14:paraId="00000007">
      <w:pPr>
        <w:spacing w:after="280" w:before="280" w:lineRule="auto"/>
        <w:ind w:left="851" w:firstLine="0"/>
        <w:rPr>
          <w:sz w:val="22"/>
          <w:szCs w:val="22"/>
        </w:rPr>
      </w:pPr>
      <w:r w:rsidDel="00000000" w:rsidR="00000000" w:rsidRPr="00000000">
        <w:rPr>
          <w:sz w:val="22"/>
          <w:szCs w:val="22"/>
          <w:rtl w:val="0"/>
        </w:rPr>
        <w:t xml:space="preserve">MATERIA / ÁREA / MÓDULO: TECNOLOGÍA 4º ESO</w:t>
      </w:r>
    </w:p>
    <w:p w:rsidR="00000000" w:rsidDel="00000000" w:rsidP="00000000" w:rsidRDefault="00000000" w:rsidRPr="00000000" w14:paraId="00000008">
      <w:pPr>
        <w:spacing w:after="280" w:before="280" w:lineRule="auto"/>
        <w:ind w:left="851" w:firstLine="0"/>
        <w:rPr>
          <w:sz w:val="22"/>
          <w:szCs w:val="22"/>
        </w:rPr>
      </w:pPr>
      <w:r w:rsidDel="00000000" w:rsidR="00000000" w:rsidRPr="00000000">
        <w:rPr>
          <w:sz w:val="22"/>
          <w:szCs w:val="22"/>
          <w:rtl w:val="0"/>
        </w:rPr>
        <w:t xml:space="preserve">DEPARTAMENTO: TECNOLOGÍA</w:t>
      </w:r>
    </w:p>
    <w:p w:rsidR="00000000" w:rsidDel="00000000" w:rsidP="00000000" w:rsidRDefault="00000000" w:rsidRPr="00000000" w14:paraId="00000009">
      <w:pPr>
        <w:spacing w:after="280" w:before="280" w:lineRule="auto"/>
        <w:ind w:left="851" w:firstLine="0"/>
        <w:rPr>
          <w:b w:val="1"/>
          <w:sz w:val="32"/>
          <w:szCs w:val="32"/>
        </w:rPr>
      </w:pPr>
      <w:r w:rsidDel="00000000" w:rsidR="00000000" w:rsidRPr="00000000">
        <w:rPr>
          <w:sz w:val="22"/>
          <w:szCs w:val="22"/>
          <w:rtl w:val="0"/>
        </w:rPr>
        <w:t xml:space="preserve">Fecha última actualización: Octubre 2025</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ind w:left="-851" w:firstLine="0"/>
        <w:rPr>
          <w:sz w:val="28"/>
          <w:szCs w:val="28"/>
        </w:rPr>
      </w:pP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708" w:right="0" w:hanging="708"/>
        <w:jc w:val="left"/>
        <w:rPr>
          <w:rFonts w:ascii="Times New Roman" w:cs="Times New Roman" w:eastAsia="Times New Roman" w:hAnsi="Times New Roman"/>
          <w:b w:val="1"/>
          <w:i w:val="0"/>
          <w:smallCaps w:val="0"/>
          <w:strike w:val="0"/>
          <w:color w:val="365f91"/>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8"/>
          <w:szCs w:val="28"/>
          <w:u w:val="none"/>
          <w:shd w:fill="auto" w:val="clear"/>
          <w:vertAlign w:val="baseline"/>
          <w:rtl w:val="0"/>
        </w:rPr>
        <w:t xml:space="preserve">ÍNDICE</w:t>
      </w:r>
    </w:p>
    <w:p w:rsidR="00000000" w:rsidDel="00000000" w:rsidP="00000000" w:rsidRDefault="00000000" w:rsidRPr="00000000" w14:paraId="0000000D">
      <w:pPr>
        <w:rPr/>
      </w:pPr>
      <w:r w:rsidDel="00000000" w:rsidR="00000000" w:rsidRPr="00000000">
        <w:rPr>
          <w:rtl w:val="0"/>
        </w:rPr>
      </w:r>
    </w:p>
    <w:sdt>
      <w:sdtPr>
        <w:id w:val="1495897283"/>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98k054qyv0u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hyperlink>
          <w:hyperlink w:anchor="_heading=h.98k054qyv0u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_heading=h.98k054qyv0u9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Contenidos exigibles para una evaluación positiva de la materia, área o módulo</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zf56e8bpjug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hyperlink>
          <w:hyperlink w:anchor="_heading=h.zf56e8bpjug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_heading=h.zf56e8bpjug1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Procedimientos e instrumentos de evaluación, junto con los criterios de calificación aplicables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wm5k32atb98d">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hyperlink>
          <w:hyperlink w:anchor="_heading=h.wm5k32atb98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_heading=h.wm5k32atb98d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Orientaciones, actividades de recuperación y apoyos para los alumnos con la materia pendiente (matriculados en cursos posteriores)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851" w:firstLine="0"/>
        <w:rPr>
          <w:sz w:val="18"/>
          <w:szCs w:val="18"/>
        </w:rPr>
      </w:pPr>
      <w:r w:rsidDel="00000000" w:rsidR="00000000" w:rsidRPr="00000000">
        <w:rPr>
          <w:rtl w:val="0"/>
        </w:rPr>
      </w:r>
    </w:p>
    <w:p w:rsidR="00000000" w:rsidDel="00000000" w:rsidP="00000000" w:rsidRDefault="00000000" w:rsidRPr="00000000" w14:paraId="00000014">
      <w:pPr>
        <w:ind w:left="-851" w:firstLine="0"/>
        <w:rPr>
          <w:sz w:val="28"/>
          <w:szCs w:val="28"/>
        </w:rPr>
      </w:pPr>
      <w:r w:rsidDel="00000000" w:rsidR="00000000" w:rsidRPr="00000000">
        <w:rPr>
          <w:rtl w:val="0"/>
        </w:rPr>
      </w:r>
    </w:p>
    <w:p w:rsidR="00000000" w:rsidDel="00000000" w:rsidP="00000000" w:rsidRDefault="00000000" w:rsidRPr="00000000" w14:paraId="00000015">
      <w:pPr>
        <w:pStyle w:val="Heading1"/>
        <w:numPr>
          <w:ilvl w:val="0"/>
          <w:numId w:val="1"/>
        </w:numPr>
        <w:spacing w:before="600" w:lineRule="auto"/>
        <w:ind w:left="709" w:hanging="709"/>
        <w:rPr>
          <w:rFonts w:ascii="Times New Roman" w:cs="Times New Roman" w:eastAsia="Times New Roman" w:hAnsi="Times New Roman"/>
        </w:rPr>
      </w:pPr>
      <w:bookmarkStart w:colFirst="0" w:colLast="0" w:name="_heading=h.98k054qyv0u9" w:id="0"/>
      <w:bookmarkEnd w:id="0"/>
      <w:r w:rsidDel="00000000" w:rsidR="00000000" w:rsidRPr="00000000">
        <w:br w:type="page"/>
      </w:r>
      <w:r w:rsidDel="00000000" w:rsidR="00000000" w:rsidRPr="00000000">
        <w:rPr>
          <w:rFonts w:ascii="Times New Roman" w:cs="Times New Roman" w:eastAsia="Times New Roman" w:hAnsi="Times New Roman"/>
          <w:rtl w:val="0"/>
        </w:rPr>
        <w:t xml:space="preserve">Contenidos exigibles para una evaluación positiva de la materia, área o módulo</w:t>
      </w:r>
    </w:p>
    <w:p w:rsidR="00000000" w:rsidDel="00000000" w:rsidP="00000000" w:rsidRDefault="00000000" w:rsidRPr="00000000" w14:paraId="00000016">
      <w:pPr>
        <w:ind w:left="709" w:firstLine="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567"/>
        <w:jc w:val="both"/>
        <w:rPr>
          <w:rFonts w:ascii="Times New Roman" w:cs="Times New Roman" w:eastAsia="Times New Roman" w:hAnsi="Times New Roman"/>
          <w:b w:val="1"/>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1f1f"/>
          <w:sz w:val="22"/>
          <w:szCs w:val="22"/>
          <w:u w:val="none"/>
          <w:shd w:fill="auto" w:val="clear"/>
          <w:vertAlign w:val="baseline"/>
          <w:rtl w:val="0"/>
        </w:rPr>
        <w:t xml:space="preserve">A. Proceso de resolución de problemas.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Estrategias y técnicas:</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Estrategias de gestión de proyectos colaborativos y técnicas de resolución de problemas iterativas.</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Estudio de necesidades del centro, locales, regionales, etc. Planteamiento de proyectos colaborativos o cooperativos.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Técnicas de ideación.</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Emprendimiento, perseverancia y creatividad en la resolución de problemas desde una perspectiva interdisciplinar de la actividad tecnológica y satisfacción e interés por el trabajo y la calidad del mismo.</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Productos y materiales:</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Ciclo de vida de un producto y sus fases. Análisis sencillos.</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Estrategias de selección de materiales en base a sus propiedades o requisitos.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Fabricación:</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Herramientas de diseño asistido por computador en tres dimensiones en la representación o fabricación de piezas aplicadas a proyectos.</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Técnicas de fabricación manual y mecánica. Aplicaciones prácticas.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Técnicas de fabricación digital. Impresión en tres dimensiones y corte. Aplicaciones prácticas.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Difusión:</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Presentación y difusión del proyecto. Elementos, técnicas y herramientas. Comunicación efectiva: entonación, expresión, gestión del tiempo, adaptación del discurso y uso de un lenguaje inclusivo, libre de estereotipos sexistas.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8" w:right="0" w:firstLine="567"/>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567"/>
        <w:jc w:val="both"/>
        <w:rPr>
          <w:rFonts w:ascii="Times New Roman" w:cs="Times New Roman" w:eastAsia="Times New Roman" w:hAnsi="Times New Roman"/>
          <w:b w:val="1"/>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1f1f"/>
          <w:sz w:val="22"/>
          <w:szCs w:val="22"/>
          <w:u w:val="none"/>
          <w:shd w:fill="auto" w:val="clear"/>
          <w:vertAlign w:val="baseline"/>
          <w:rtl w:val="0"/>
        </w:rPr>
        <w:t xml:space="preserve">B. Operadores tecnológicos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Electrónica analógica. Componentes básicos, simbología, análisis y montaje físico y simulado de circuitos elementales.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Electrónica digital básica.</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Neumática básica. Circuitos.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Elementos mecánicos, electrónicos y neumáticos aplicados a la robótica. Montaje físico o simulado.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8" w:right="0" w:firstLine="567"/>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567"/>
        <w:jc w:val="both"/>
        <w:rPr>
          <w:rFonts w:ascii="Times New Roman" w:cs="Times New Roman" w:eastAsia="Times New Roman" w:hAnsi="Times New Roman"/>
          <w:b w:val="1"/>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1f1f"/>
          <w:sz w:val="22"/>
          <w:szCs w:val="22"/>
          <w:u w:val="none"/>
          <w:shd w:fill="auto" w:val="clear"/>
          <w:vertAlign w:val="baseline"/>
          <w:rtl w:val="0"/>
        </w:rPr>
        <w:t xml:space="preserve">C. Pensamiento computacional, programación y robótica.</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Componentes de sistemas de control programado: controladores, sensores y actuadores.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El ordenador y los dispositivos móviles como elementos de programación y control. Trabajo con simuladores informáticos en la verificación y comprobación del funcionamiento de los sistemas diseñados. Iniciación a la inteligencia artificial y el big data: aplicaciones. Espacios compartidos y discos virtuales.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Telecomunicaciones en sistemas de control digital: internet de las cosas; elementos, comunicaciones y control. Aplicaciones prácticas.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Robótica. Diseño, construcción y control de robots sencillos de manera física o simulada.</w:t>
      </w:r>
    </w:p>
    <w:p w:rsidR="00000000" w:rsidDel="00000000" w:rsidP="00000000" w:rsidRDefault="00000000" w:rsidRPr="00000000" w14:paraId="00000032">
      <w:pPr>
        <w:spacing w:after="120" w:before="120" w:lineRule="auto"/>
        <w:ind w:firstLine="567"/>
        <w:rPr>
          <w:color w:val="221f1f"/>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567"/>
        <w:jc w:val="both"/>
        <w:rPr>
          <w:rFonts w:ascii="Times New Roman" w:cs="Times New Roman" w:eastAsia="Times New Roman" w:hAnsi="Times New Roman"/>
          <w:b w:val="1"/>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1f1f"/>
          <w:sz w:val="22"/>
          <w:szCs w:val="22"/>
          <w:u w:val="none"/>
          <w:shd w:fill="auto" w:val="clear"/>
          <w:vertAlign w:val="baseline"/>
          <w:rtl w:val="0"/>
        </w:rPr>
        <w:t xml:space="preserve">D. Tecnología sostenible.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Sostenibilidad y accesibilidad en la selección de materiales y diseño de procesos, de productos y sistemas tecnológicos.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Arquitectura bioclimática y sostenible. Ahorro energético en edificios.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firstLine="566.9999999999999"/>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Transporte y sostenibilidad.</w:t>
      </w:r>
    </w:p>
    <w:p w:rsidR="00000000" w:rsidDel="00000000" w:rsidP="00000000" w:rsidRDefault="00000000" w:rsidRPr="00000000" w14:paraId="00000037">
      <w:pPr>
        <w:spacing w:after="120" w:lineRule="auto"/>
        <w:ind w:right="28" w:firstLine="567"/>
        <w:jc w:val="both"/>
        <w:rPr>
          <w:sz w:val="22"/>
          <w:szCs w:val="22"/>
        </w:rPr>
      </w:pPr>
      <w:r w:rsidDel="00000000" w:rsidR="00000000" w:rsidRPr="00000000">
        <w:rPr>
          <w:color w:val="221f1f"/>
          <w:rtl w:val="0"/>
        </w:rPr>
        <w:t xml:space="preserve">Comunidades abiertas, voluntariado tecnológico y proyectos de servicio a la comunidad</w:t>
      </w:r>
      <w:r w:rsidDel="00000000" w:rsidR="00000000" w:rsidRPr="00000000">
        <w:rPr>
          <w:sz w:val="22"/>
          <w:szCs w:val="22"/>
          <w:rtl w:val="0"/>
        </w:rPr>
        <w:t xml:space="preserve">. </w:t>
      </w:r>
    </w:p>
    <w:p w:rsidR="00000000" w:rsidDel="00000000" w:rsidP="00000000" w:rsidRDefault="00000000" w:rsidRPr="00000000" w14:paraId="00000038">
      <w:pPr>
        <w:pStyle w:val="Heading1"/>
        <w:numPr>
          <w:ilvl w:val="0"/>
          <w:numId w:val="1"/>
        </w:numPr>
        <w:spacing w:before="600" w:lineRule="auto"/>
        <w:ind w:left="709" w:hanging="709"/>
        <w:rPr>
          <w:rFonts w:ascii="Times New Roman" w:cs="Times New Roman" w:eastAsia="Times New Roman" w:hAnsi="Times New Roman"/>
        </w:rPr>
      </w:pPr>
      <w:bookmarkStart w:colFirst="0" w:colLast="0" w:name="_heading=h.zf56e8bpjug1" w:id="1"/>
      <w:bookmarkEnd w:id="1"/>
      <w:r w:rsidDel="00000000" w:rsidR="00000000" w:rsidRPr="00000000">
        <w:rPr>
          <w:rFonts w:ascii="Times New Roman" w:cs="Times New Roman" w:eastAsia="Times New Roman" w:hAnsi="Times New Roman"/>
          <w:rtl w:val="0"/>
        </w:rPr>
        <w:t xml:space="preserve">Procedimientos e instrumentos de evaluación, junto con los criterios de calificación aplicables</w:t>
      </w:r>
    </w:p>
    <w:p w:rsidR="00000000" w:rsidDel="00000000" w:rsidP="00000000" w:rsidRDefault="00000000" w:rsidRPr="00000000" w14:paraId="00000039">
      <w:pPr>
        <w:ind w:left="709" w:firstLine="0"/>
        <w:rPr/>
      </w:pPr>
      <w:r w:rsidDel="00000000" w:rsidR="00000000" w:rsidRPr="00000000">
        <w:rPr>
          <w:rtl w:val="0"/>
        </w:rPr>
      </w:r>
    </w:p>
    <w:p w:rsidR="00000000" w:rsidDel="00000000" w:rsidP="00000000" w:rsidRDefault="00000000" w:rsidRPr="00000000" w14:paraId="0000003A">
      <w:pPr>
        <w:ind w:firstLine="708"/>
        <w:jc w:val="both"/>
        <w:rPr/>
      </w:pPr>
      <w:r w:rsidDel="00000000" w:rsidR="00000000" w:rsidRPr="00000000">
        <w:rPr>
          <w:rtl w:val="0"/>
        </w:rPr>
        <w:t xml:space="preserve">Los Criterios de Calificación se les comunicarán a todos los alumnos a principios de curso. Calificaremos las competencias clave establecidas por la ley utilizando los siguientes instrumentos para valorarlas: </w:t>
      </w:r>
    </w:p>
    <w:p w:rsidR="00000000" w:rsidDel="00000000" w:rsidP="00000000" w:rsidRDefault="00000000" w:rsidRPr="00000000" w14:paraId="0000003B">
      <w:pPr>
        <w:ind w:firstLine="708"/>
        <w:jc w:val="both"/>
        <w:rPr/>
      </w:pPr>
      <w:r w:rsidDel="00000000" w:rsidR="00000000" w:rsidRPr="00000000">
        <w:rPr>
          <w:rtl w:val="0"/>
        </w:rPr>
      </w:r>
    </w:p>
    <w:p w:rsidR="00000000" w:rsidDel="00000000" w:rsidP="00000000" w:rsidRDefault="00000000" w:rsidRPr="00000000" w14:paraId="0000003C">
      <w:pPr>
        <w:ind w:firstLine="708"/>
        <w:jc w:val="both"/>
        <w:rPr/>
      </w:pPr>
      <w:r w:rsidDel="00000000" w:rsidR="00000000" w:rsidRPr="00000000">
        <w:rPr>
          <w:b w:val="1"/>
          <w:rtl w:val="0"/>
        </w:rPr>
        <w:t xml:space="preserve">A) Exámenes, pruebas escritas y/o trabajos</w:t>
      </w:r>
      <w:r w:rsidDel="00000000" w:rsidR="00000000" w:rsidRPr="00000000">
        <w:rPr>
          <w:b w:val="1"/>
          <w:i w:val="1"/>
          <w:rtl w:val="0"/>
        </w:rPr>
        <w:t xml:space="preserve">.</w:t>
      </w:r>
      <w:r w:rsidDel="00000000" w:rsidR="00000000" w:rsidRPr="00000000">
        <w:rPr>
          <w:rtl w:val="0"/>
        </w:rPr>
        <w:t xml:space="preserve"> Se tendrá en cuenta el nivel de </w:t>
      </w:r>
      <w:r w:rsidDel="00000000" w:rsidR="00000000" w:rsidRPr="00000000">
        <w:rPr>
          <w:i w:val="1"/>
          <w:rtl w:val="0"/>
        </w:rPr>
        <w:t xml:space="preserve">concreción</w:t>
      </w:r>
      <w:r w:rsidDel="00000000" w:rsidR="00000000" w:rsidRPr="00000000">
        <w:rPr>
          <w:rtl w:val="0"/>
        </w:rPr>
        <w:t xml:space="preserve"> y </w:t>
      </w:r>
      <w:r w:rsidDel="00000000" w:rsidR="00000000" w:rsidRPr="00000000">
        <w:rPr>
          <w:i w:val="1"/>
          <w:rtl w:val="0"/>
        </w:rPr>
        <w:t xml:space="preserve">exactitud</w:t>
      </w:r>
      <w:r w:rsidDel="00000000" w:rsidR="00000000" w:rsidRPr="00000000">
        <w:rPr>
          <w:rtl w:val="0"/>
        </w:rPr>
        <w:t xml:space="preserve"> en las respuestas,</w:t>
      </w:r>
      <w:r w:rsidDel="00000000" w:rsidR="00000000" w:rsidRPr="00000000">
        <w:rPr>
          <w:i w:val="1"/>
          <w:rtl w:val="0"/>
        </w:rPr>
        <w:t xml:space="preserve"> claridad, limpieza, expresión y organización</w:t>
      </w:r>
      <w:r w:rsidDel="00000000" w:rsidR="00000000" w:rsidRPr="00000000">
        <w:rPr>
          <w:rtl w:val="0"/>
        </w:rPr>
        <w:t xml:space="preserve">.</w:t>
      </w:r>
    </w:p>
    <w:p w:rsidR="00000000" w:rsidDel="00000000" w:rsidP="00000000" w:rsidRDefault="00000000" w:rsidRPr="00000000" w14:paraId="0000003D">
      <w:pPr>
        <w:ind w:firstLine="708"/>
        <w:jc w:val="both"/>
        <w:rPr/>
      </w:pPr>
      <w:r w:rsidDel="00000000" w:rsidR="00000000" w:rsidRPr="00000000">
        <w:rPr>
          <w:rtl w:val="0"/>
        </w:rPr>
      </w:r>
    </w:p>
    <w:p w:rsidR="00000000" w:rsidDel="00000000" w:rsidP="00000000" w:rsidRDefault="00000000" w:rsidRPr="00000000" w14:paraId="0000003E">
      <w:pPr>
        <w:ind w:firstLine="708"/>
        <w:jc w:val="both"/>
        <w:rPr/>
      </w:pPr>
      <w:r w:rsidDel="00000000" w:rsidR="00000000" w:rsidRPr="00000000">
        <w:rPr>
          <w:b w:val="1"/>
          <w:rtl w:val="0"/>
        </w:rPr>
        <w:t xml:space="preserve">B) Trabajos, simuladores, prácticas de informática y/o proyectos de taller</w:t>
      </w:r>
      <w:r w:rsidDel="00000000" w:rsidR="00000000" w:rsidRPr="00000000">
        <w:rPr>
          <w:rtl w:val="0"/>
        </w:rPr>
        <w:t xml:space="preserve">, si los hubiera en la evaluación. Para calificar las prácticas o proyectos se tendrá en cuenta que se hayan seguido completamente y se ajusten a lo establecido en cada una</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3F">
      <w:pPr>
        <w:ind w:firstLine="708"/>
        <w:jc w:val="both"/>
        <w:rPr>
          <w:b w:val="1"/>
        </w:rPr>
      </w:pPr>
      <w:r w:rsidDel="00000000" w:rsidR="00000000" w:rsidRPr="00000000">
        <w:rPr>
          <w:rtl w:val="0"/>
        </w:rPr>
      </w:r>
    </w:p>
    <w:p w:rsidR="00000000" w:rsidDel="00000000" w:rsidP="00000000" w:rsidRDefault="00000000" w:rsidRPr="00000000" w14:paraId="00000040">
      <w:pPr>
        <w:ind w:firstLine="708"/>
        <w:jc w:val="both"/>
        <w:rPr/>
      </w:pPr>
      <w:r w:rsidDel="00000000" w:rsidR="00000000" w:rsidRPr="00000000">
        <w:rPr>
          <w:b w:val="1"/>
          <w:rtl w:val="0"/>
        </w:rPr>
        <w:t xml:space="preserve">C) Cuaderno de clase</w:t>
      </w:r>
      <w:r w:rsidDel="00000000" w:rsidR="00000000" w:rsidRPr="00000000">
        <w:rPr>
          <w:rtl w:val="0"/>
        </w:rPr>
        <w:t xml:space="preserve">. Se valorará que esté completo y correcto, que se lleve actualizado al día y el orden y limpieza que presente.</w:t>
      </w:r>
    </w:p>
    <w:p w:rsidR="00000000" w:rsidDel="00000000" w:rsidP="00000000" w:rsidRDefault="00000000" w:rsidRPr="00000000" w14:paraId="00000041">
      <w:pPr>
        <w:ind w:firstLine="708"/>
        <w:jc w:val="both"/>
        <w:rPr>
          <w:b w:val="1"/>
        </w:rPr>
      </w:pPr>
      <w:r w:rsidDel="00000000" w:rsidR="00000000" w:rsidRPr="00000000">
        <w:rPr>
          <w:rtl w:val="0"/>
        </w:rPr>
      </w:r>
    </w:p>
    <w:p w:rsidR="00000000" w:rsidDel="00000000" w:rsidP="00000000" w:rsidRDefault="00000000" w:rsidRPr="00000000" w14:paraId="00000042">
      <w:pPr>
        <w:ind w:firstLine="708"/>
        <w:jc w:val="both"/>
        <w:rPr/>
      </w:pPr>
      <w:r w:rsidDel="00000000" w:rsidR="00000000" w:rsidRPr="00000000">
        <w:rPr>
          <w:b w:val="1"/>
          <w:rtl w:val="0"/>
        </w:rPr>
        <w:t xml:space="preserve">D) Hábito de trabajo </w:t>
      </w:r>
      <w:r w:rsidDel="00000000" w:rsidR="00000000" w:rsidRPr="00000000">
        <w:rPr>
          <w:i w:val="1"/>
          <w:rtl w:val="0"/>
        </w:rPr>
        <w:t xml:space="preserve">(trabajo para casa o deberes y trabajo en clase)</w:t>
      </w:r>
      <w:r w:rsidDel="00000000" w:rsidR="00000000" w:rsidRPr="00000000">
        <w:rPr>
          <w:b w:val="1"/>
          <w:rtl w:val="0"/>
        </w:rPr>
        <w:t xml:space="preserve"> y actitud ante la materia </w:t>
      </w:r>
      <w:r w:rsidDel="00000000" w:rsidR="00000000" w:rsidRPr="00000000">
        <w:rPr>
          <w:i w:val="1"/>
          <w:rtl w:val="0"/>
        </w:rPr>
        <w:t xml:space="preserve">(esfuerzo, interés, asistencia, comportamiento, que traigan el material necesario, etc.).</w:t>
      </w:r>
      <w:r w:rsidDel="00000000" w:rsidR="00000000" w:rsidRPr="00000000">
        <w:rPr>
          <w:rtl w:val="0"/>
        </w:rPr>
        <w:t xml:space="preserve"> Todos estos aspectos se irán calificando a lo largo del curso mediante un seguimiento del alumno y revisiones del cuaderno. </w:t>
      </w:r>
    </w:p>
    <w:p w:rsidR="00000000" w:rsidDel="00000000" w:rsidP="00000000" w:rsidRDefault="00000000" w:rsidRPr="00000000" w14:paraId="00000043">
      <w:pPr>
        <w:ind w:firstLine="708"/>
        <w:jc w:val="both"/>
        <w:rPr/>
      </w:pPr>
      <w:r w:rsidDel="00000000" w:rsidR="00000000" w:rsidRPr="00000000">
        <w:rPr>
          <w:rtl w:val="0"/>
        </w:rPr>
      </w:r>
    </w:p>
    <w:p w:rsidR="00000000" w:rsidDel="00000000" w:rsidP="00000000" w:rsidRDefault="00000000" w:rsidRPr="00000000" w14:paraId="00000044">
      <w:pPr>
        <w:ind w:firstLine="708"/>
        <w:jc w:val="both"/>
        <w:rPr/>
      </w:pPr>
      <w:r w:rsidDel="00000000" w:rsidR="00000000" w:rsidRPr="00000000">
        <w:rPr>
          <w:rtl w:val="0"/>
        </w:rPr>
        <w:t xml:space="preserve">La Calificación de cada competencia se obtendrá según el porcentaje obtenido en cada instrumento de evaluación. </w:t>
      </w:r>
    </w:p>
    <w:p w:rsidR="00000000" w:rsidDel="00000000" w:rsidP="00000000" w:rsidRDefault="00000000" w:rsidRPr="00000000" w14:paraId="00000045">
      <w:pPr>
        <w:ind w:firstLine="708"/>
        <w:jc w:val="both"/>
        <w:rPr/>
      </w:pPr>
      <w:r w:rsidDel="00000000" w:rsidR="00000000" w:rsidRPr="00000000">
        <w:rPr>
          <w:rtl w:val="0"/>
        </w:rPr>
      </w:r>
    </w:p>
    <w:tbl>
      <w:tblPr>
        <w:tblStyle w:val="Table1"/>
        <w:tblW w:w="988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9"/>
        <w:gridCol w:w="1843"/>
        <w:gridCol w:w="1417"/>
        <w:gridCol w:w="2404"/>
        <w:tblGridChange w:id="0">
          <w:tblGrid>
            <w:gridCol w:w="4219"/>
            <w:gridCol w:w="1843"/>
            <w:gridCol w:w="1417"/>
            <w:gridCol w:w="2404"/>
          </w:tblGrid>
        </w:tblGridChange>
      </w:tblGrid>
      <w:tr>
        <w:trPr>
          <w:cantSplit w:val="0"/>
          <w:tblHeader w:val="0"/>
        </w:trPr>
        <w:tc>
          <w:tcPr>
            <w:vAlign w:val="center"/>
          </w:tcPr>
          <w:p w:rsidR="00000000" w:rsidDel="00000000" w:rsidP="00000000" w:rsidRDefault="00000000" w:rsidRPr="00000000" w14:paraId="00000046">
            <w:pPr>
              <w:jc w:val="center"/>
              <w:rPr>
                <w:b w:val="1"/>
                <w:sz w:val="22"/>
                <w:szCs w:val="22"/>
              </w:rPr>
            </w:pPr>
            <w:r w:rsidDel="00000000" w:rsidR="00000000" w:rsidRPr="00000000">
              <w:rPr>
                <w:b w:val="1"/>
                <w:sz w:val="22"/>
                <w:szCs w:val="22"/>
                <w:rtl w:val="0"/>
              </w:rPr>
              <w:t xml:space="preserve">COMPETENCIA</w:t>
            </w:r>
          </w:p>
        </w:tc>
        <w:tc>
          <w:tcPr>
            <w:vAlign w:val="center"/>
          </w:tcPr>
          <w:p w:rsidR="00000000" w:rsidDel="00000000" w:rsidP="00000000" w:rsidRDefault="00000000" w:rsidRPr="00000000" w14:paraId="00000047">
            <w:pPr>
              <w:jc w:val="center"/>
              <w:rPr>
                <w:b w:val="1"/>
              </w:rPr>
            </w:pPr>
            <w:r w:rsidDel="00000000" w:rsidR="00000000" w:rsidRPr="00000000">
              <w:rPr>
                <w:b w:val="1"/>
                <w:rtl w:val="0"/>
              </w:rPr>
              <w:t xml:space="preserve">INFORMÁTICA / TALLER</w:t>
            </w:r>
          </w:p>
        </w:tc>
        <w:tc>
          <w:tcPr>
            <w:vAlign w:val="center"/>
          </w:tcPr>
          <w:p w:rsidR="00000000" w:rsidDel="00000000" w:rsidP="00000000" w:rsidRDefault="00000000" w:rsidRPr="00000000" w14:paraId="00000048">
            <w:pPr>
              <w:jc w:val="center"/>
              <w:rPr>
                <w:b w:val="1"/>
              </w:rPr>
            </w:pPr>
            <w:r w:rsidDel="00000000" w:rsidR="00000000" w:rsidRPr="00000000">
              <w:rPr>
                <w:b w:val="1"/>
                <w:rtl w:val="0"/>
              </w:rPr>
              <w:t xml:space="preserve">EXÁMENES</w:t>
            </w:r>
          </w:p>
        </w:tc>
        <w:tc>
          <w:tcPr>
            <w:vAlign w:val="center"/>
          </w:tcPr>
          <w:p w:rsidR="00000000" w:rsidDel="00000000" w:rsidP="00000000" w:rsidRDefault="00000000" w:rsidRPr="00000000" w14:paraId="00000049">
            <w:pPr>
              <w:jc w:val="center"/>
              <w:rPr>
                <w:b w:val="1"/>
              </w:rPr>
            </w:pPr>
            <w:r w:rsidDel="00000000" w:rsidR="00000000" w:rsidRPr="00000000">
              <w:rPr>
                <w:b w:val="1"/>
                <w:rtl w:val="0"/>
              </w:rPr>
              <w:t xml:space="preserve">CUADERNO/</w:t>
            </w:r>
          </w:p>
          <w:p w:rsidR="00000000" w:rsidDel="00000000" w:rsidP="00000000" w:rsidRDefault="00000000" w:rsidRPr="00000000" w14:paraId="0000004A">
            <w:pPr>
              <w:jc w:val="center"/>
              <w:rPr>
                <w:b w:val="1"/>
              </w:rPr>
            </w:pPr>
            <w:r w:rsidDel="00000000" w:rsidR="00000000" w:rsidRPr="00000000">
              <w:rPr>
                <w:b w:val="1"/>
                <w:rtl w:val="0"/>
              </w:rPr>
              <w:t xml:space="preserve">HÁBITO DE TRABAJO</w:t>
            </w:r>
          </w:p>
        </w:tc>
      </w:tr>
      <w:tr>
        <w:trPr>
          <w:cantSplit w:val="0"/>
          <w:tblHeader w:val="0"/>
        </w:trPr>
        <w:tc>
          <w:tcPr/>
          <w:p w:rsidR="00000000" w:rsidDel="00000000" w:rsidP="00000000" w:rsidRDefault="00000000" w:rsidRPr="00000000" w14:paraId="0000004B">
            <w:pPr>
              <w:jc w:val="both"/>
              <w:rPr/>
            </w:pPr>
            <w:r w:rsidDel="00000000" w:rsidR="00000000" w:rsidRPr="00000000">
              <w:rPr>
                <w:rtl w:val="0"/>
              </w:rPr>
              <w:t xml:space="preserve">Comunicación Lingüística</w:t>
            </w:r>
          </w:p>
        </w:tc>
        <w:tc>
          <w:tcPr/>
          <w:p w:rsidR="00000000" w:rsidDel="00000000" w:rsidP="00000000" w:rsidRDefault="00000000" w:rsidRPr="00000000" w14:paraId="0000004C">
            <w:pPr>
              <w:jc w:val="center"/>
              <w:rPr/>
            </w:pPr>
            <w:r w:rsidDel="00000000" w:rsidR="00000000" w:rsidRPr="00000000">
              <w:rPr>
                <w:rtl w:val="0"/>
              </w:rPr>
              <w:t xml:space="preserve">0%</w:t>
            </w:r>
          </w:p>
        </w:tc>
        <w:tc>
          <w:tcPr/>
          <w:p w:rsidR="00000000" w:rsidDel="00000000" w:rsidP="00000000" w:rsidRDefault="00000000" w:rsidRPr="00000000" w14:paraId="0000004D">
            <w:pPr>
              <w:jc w:val="center"/>
              <w:rPr/>
            </w:pPr>
            <w:r w:rsidDel="00000000" w:rsidR="00000000" w:rsidRPr="00000000">
              <w:rPr>
                <w:rtl w:val="0"/>
              </w:rPr>
              <w:t xml:space="preserve">0%</w:t>
            </w:r>
          </w:p>
        </w:tc>
        <w:tc>
          <w:tcPr/>
          <w:p w:rsidR="00000000" w:rsidDel="00000000" w:rsidP="00000000" w:rsidRDefault="00000000" w:rsidRPr="00000000" w14:paraId="0000004E">
            <w:pPr>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4F">
            <w:pPr>
              <w:jc w:val="both"/>
              <w:rPr/>
            </w:pPr>
            <w:r w:rsidDel="00000000" w:rsidR="00000000" w:rsidRPr="00000000">
              <w:rPr>
                <w:rtl w:val="0"/>
              </w:rPr>
              <w:t xml:space="preserve">Plurilingüe</w:t>
            </w:r>
          </w:p>
        </w:tc>
        <w:tc>
          <w:tcPr/>
          <w:p w:rsidR="00000000" w:rsidDel="00000000" w:rsidP="00000000" w:rsidRDefault="00000000" w:rsidRPr="00000000" w14:paraId="00000050">
            <w:pPr>
              <w:jc w:val="center"/>
              <w:rPr/>
            </w:pPr>
            <w:r w:rsidDel="00000000" w:rsidR="00000000" w:rsidRPr="00000000">
              <w:rPr>
                <w:rtl w:val="0"/>
              </w:rPr>
            </w:r>
          </w:p>
        </w:tc>
        <w:tc>
          <w:tcPr/>
          <w:p w:rsidR="00000000" w:rsidDel="00000000" w:rsidP="00000000" w:rsidRDefault="00000000" w:rsidRPr="00000000" w14:paraId="00000051">
            <w:pPr>
              <w:jc w:val="center"/>
              <w:rPr/>
            </w:pPr>
            <w:r w:rsidDel="00000000" w:rsidR="00000000" w:rsidRPr="00000000">
              <w:rPr>
                <w:rtl w:val="0"/>
              </w:rPr>
            </w:r>
          </w:p>
        </w:tc>
        <w:tc>
          <w:tcPr/>
          <w:p w:rsidR="00000000" w:rsidDel="00000000" w:rsidP="00000000" w:rsidRDefault="00000000" w:rsidRPr="00000000" w14:paraId="00000052">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53">
            <w:pPr>
              <w:jc w:val="both"/>
              <w:rPr/>
            </w:pPr>
            <w:r w:rsidDel="00000000" w:rsidR="00000000" w:rsidRPr="00000000">
              <w:rPr>
                <w:rtl w:val="0"/>
              </w:rPr>
              <w:t xml:space="preserve">Matemática y competencia en ciencia, tecnología e ingeniería (STEM)</w:t>
            </w:r>
          </w:p>
        </w:tc>
        <w:tc>
          <w:tcPr/>
          <w:p w:rsidR="00000000" w:rsidDel="00000000" w:rsidP="00000000" w:rsidRDefault="00000000" w:rsidRPr="00000000" w14:paraId="00000054">
            <w:pPr>
              <w:jc w:val="center"/>
              <w:rPr/>
            </w:pPr>
            <w:r w:rsidDel="00000000" w:rsidR="00000000" w:rsidRPr="00000000">
              <w:rPr>
                <w:rtl w:val="0"/>
              </w:rPr>
              <w:t xml:space="preserve">30%</w:t>
            </w:r>
          </w:p>
        </w:tc>
        <w:tc>
          <w:tcPr/>
          <w:p w:rsidR="00000000" w:rsidDel="00000000" w:rsidP="00000000" w:rsidRDefault="00000000" w:rsidRPr="00000000" w14:paraId="00000055">
            <w:pPr>
              <w:jc w:val="center"/>
              <w:rPr/>
            </w:pPr>
            <w:r w:rsidDel="00000000" w:rsidR="00000000" w:rsidRPr="00000000">
              <w:rPr>
                <w:rtl w:val="0"/>
              </w:rPr>
              <w:t xml:space="preserve">60%</w:t>
            </w:r>
          </w:p>
        </w:tc>
        <w:tc>
          <w:tcPr/>
          <w:p w:rsidR="00000000" w:rsidDel="00000000" w:rsidP="00000000" w:rsidRDefault="00000000" w:rsidRPr="00000000" w14:paraId="00000056">
            <w:pPr>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57">
            <w:pPr>
              <w:jc w:val="both"/>
              <w:rPr/>
            </w:pPr>
            <w:r w:rsidDel="00000000" w:rsidR="00000000" w:rsidRPr="00000000">
              <w:rPr>
                <w:rtl w:val="0"/>
              </w:rPr>
              <w:t xml:space="preserve">Digital</w:t>
            </w:r>
          </w:p>
        </w:tc>
        <w:tc>
          <w:tcPr/>
          <w:p w:rsidR="00000000" w:rsidDel="00000000" w:rsidP="00000000" w:rsidRDefault="00000000" w:rsidRPr="00000000" w14:paraId="00000058">
            <w:pPr>
              <w:jc w:val="center"/>
              <w:rPr/>
            </w:pPr>
            <w:r w:rsidDel="00000000" w:rsidR="00000000" w:rsidRPr="00000000">
              <w:rPr>
                <w:rtl w:val="0"/>
              </w:rPr>
              <w:t xml:space="preserve">80%</w:t>
            </w:r>
          </w:p>
        </w:tc>
        <w:tc>
          <w:tcPr/>
          <w:p w:rsidR="00000000" w:rsidDel="00000000" w:rsidP="00000000" w:rsidRDefault="00000000" w:rsidRPr="00000000" w14:paraId="00000059">
            <w:pPr>
              <w:jc w:val="center"/>
              <w:rPr/>
            </w:pPr>
            <w:r w:rsidDel="00000000" w:rsidR="00000000" w:rsidRPr="00000000">
              <w:rPr>
                <w:rtl w:val="0"/>
              </w:rPr>
              <w:t xml:space="preserve">20%</w:t>
            </w:r>
          </w:p>
        </w:tc>
        <w:tc>
          <w:tcPr/>
          <w:p w:rsidR="00000000" w:rsidDel="00000000" w:rsidP="00000000" w:rsidRDefault="00000000" w:rsidRPr="00000000" w14:paraId="0000005A">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5B">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5C">
            <w:pPr>
              <w:jc w:val="center"/>
              <w:rPr/>
            </w:pPr>
            <w:r w:rsidDel="00000000" w:rsidR="00000000" w:rsidRPr="00000000">
              <w:rPr>
                <w:rtl w:val="0"/>
              </w:rPr>
              <w:t xml:space="preserve">20%</w:t>
            </w:r>
          </w:p>
        </w:tc>
        <w:tc>
          <w:tcPr/>
          <w:p w:rsidR="00000000" w:rsidDel="00000000" w:rsidP="00000000" w:rsidRDefault="00000000" w:rsidRPr="00000000" w14:paraId="0000005D">
            <w:pPr>
              <w:jc w:val="center"/>
              <w:rPr/>
            </w:pPr>
            <w:r w:rsidDel="00000000" w:rsidR="00000000" w:rsidRPr="00000000">
              <w:rPr>
                <w:rtl w:val="0"/>
              </w:rPr>
            </w:r>
          </w:p>
        </w:tc>
        <w:tc>
          <w:tcPr/>
          <w:p w:rsidR="00000000" w:rsidDel="00000000" w:rsidP="00000000" w:rsidRDefault="00000000" w:rsidRPr="00000000" w14:paraId="0000005E">
            <w:pPr>
              <w:jc w:val="center"/>
              <w:rPr/>
            </w:pPr>
            <w:r w:rsidDel="00000000" w:rsidR="00000000" w:rsidRPr="00000000">
              <w:rPr>
                <w:rtl w:val="0"/>
              </w:rPr>
              <w:t xml:space="preserve">80%</w:t>
            </w:r>
          </w:p>
        </w:tc>
      </w:tr>
      <w:tr>
        <w:trPr>
          <w:cantSplit w:val="0"/>
          <w:tblHeader w:val="0"/>
        </w:trPr>
        <w:tc>
          <w:tcPr/>
          <w:p w:rsidR="00000000" w:rsidDel="00000000" w:rsidP="00000000" w:rsidRDefault="00000000" w:rsidRPr="00000000" w14:paraId="0000005F">
            <w:pPr>
              <w:jc w:val="both"/>
              <w:rPr/>
            </w:pPr>
            <w:r w:rsidDel="00000000" w:rsidR="00000000" w:rsidRPr="00000000">
              <w:rPr>
                <w:rtl w:val="0"/>
              </w:rPr>
              <w:t xml:space="preserve">Ciudadana</w:t>
            </w:r>
          </w:p>
        </w:tc>
        <w:tc>
          <w:tcPr/>
          <w:p w:rsidR="00000000" w:rsidDel="00000000" w:rsidP="00000000" w:rsidRDefault="00000000" w:rsidRPr="00000000" w14:paraId="00000060">
            <w:pPr>
              <w:jc w:val="center"/>
              <w:rPr/>
            </w:pPr>
            <w:r w:rsidDel="00000000" w:rsidR="00000000" w:rsidRPr="00000000">
              <w:rPr>
                <w:rtl w:val="0"/>
              </w:rPr>
              <w:t xml:space="preserve">100%</w:t>
            </w:r>
          </w:p>
        </w:tc>
        <w:tc>
          <w:tcPr/>
          <w:p w:rsidR="00000000" w:rsidDel="00000000" w:rsidP="00000000" w:rsidRDefault="00000000" w:rsidRPr="00000000" w14:paraId="00000061">
            <w:pPr>
              <w:jc w:val="center"/>
              <w:rPr/>
            </w:pPr>
            <w:r w:rsidDel="00000000" w:rsidR="00000000" w:rsidRPr="00000000">
              <w:rPr>
                <w:rtl w:val="0"/>
              </w:rPr>
            </w:r>
          </w:p>
        </w:tc>
        <w:tc>
          <w:tcPr/>
          <w:p w:rsidR="00000000" w:rsidDel="00000000" w:rsidP="00000000" w:rsidRDefault="00000000" w:rsidRPr="00000000" w14:paraId="00000062">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63">
            <w:pPr>
              <w:jc w:val="both"/>
              <w:rPr/>
            </w:pPr>
            <w:r w:rsidDel="00000000" w:rsidR="00000000" w:rsidRPr="00000000">
              <w:rPr>
                <w:rtl w:val="0"/>
              </w:rPr>
              <w:t xml:space="preserve">Emprendedora</w:t>
            </w:r>
          </w:p>
        </w:tc>
        <w:tc>
          <w:tcPr/>
          <w:p w:rsidR="00000000" w:rsidDel="00000000" w:rsidP="00000000" w:rsidRDefault="00000000" w:rsidRPr="00000000" w14:paraId="00000064">
            <w:pPr>
              <w:jc w:val="center"/>
              <w:rPr/>
            </w:pPr>
            <w:r w:rsidDel="00000000" w:rsidR="00000000" w:rsidRPr="00000000">
              <w:rPr>
                <w:rtl w:val="0"/>
              </w:rPr>
              <w:t xml:space="preserve">80%</w:t>
            </w:r>
          </w:p>
        </w:tc>
        <w:tc>
          <w:tcPr/>
          <w:p w:rsidR="00000000" w:rsidDel="00000000" w:rsidP="00000000" w:rsidRDefault="00000000" w:rsidRPr="00000000" w14:paraId="00000065">
            <w:pPr>
              <w:jc w:val="center"/>
              <w:rPr/>
            </w:pPr>
            <w:r w:rsidDel="00000000" w:rsidR="00000000" w:rsidRPr="00000000">
              <w:rPr>
                <w:rtl w:val="0"/>
              </w:rPr>
              <w:t xml:space="preserve">0%</w:t>
            </w:r>
          </w:p>
        </w:tc>
        <w:tc>
          <w:tcPr/>
          <w:p w:rsidR="00000000" w:rsidDel="00000000" w:rsidP="00000000" w:rsidRDefault="00000000" w:rsidRPr="00000000" w14:paraId="00000066">
            <w:pPr>
              <w:jc w:val="cente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67">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68">
            <w:pPr>
              <w:jc w:val="center"/>
              <w:rPr/>
            </w:pPr>
            <w:r w:rsidDel="00000000" w:rsidR="00000000" w:rsidRPr="00000000">
              <w:rPr>
                <w:rtl w:val="0"/>
              </w:rPr>
            </w:r>
          </w:p>
        </w:tc>
        <w:tc>
          <w:tcPr/>
          <w:p w:rsidR="00000000" w:rsidDel="00000000" w:rsidP="00000000" w:rsidRDefault="00000000" w:rsidRPr="00000000" w14:paraId="00000069">
            <w:pPr>
              <w:jc w:val="center"/>
              <w:rPr/>
            </w:pPr>
            <w:r w:rsidDel="00000000" w:rsidR="00000000" w:rsidRPr="00000000">
              <w:rPr>
                <w:rtl w:val="0"/>
              </w:rPr>
            </w:r>
          </w:p>
        </w:tc>
        <w:tc>
          <w:tcPr/>
          <w:p w:rsidR="00000000" w:rsidDel="00000000" w:rsidP="00000000" w:rsidRDefault="00000000" w:rsidRPr="00000000" w14:paraId="0000006A">
            <w:pPr>
              <w:jc w:val="center"/>
              <w:rPr/>
            </w:pPr>
            <w:r w:rsidDel="00000000" w:rsidR="00000000" w:rsidRPr="00000000">
              <w:rPr>
                <w:rtl w:val="0"/>
              </w:rPr>
            </w:r>
          </w:p>
        </w:tc>
      </w:tr>
    </w:tbl>
    <w:p w:rsidR="00000000" w:rsidDel="00000000" w:rsidP="00000000" w:rsidRDefault="00000000" w:rsidRPr="00000000" w14:paraId="0000006B">
      <w:pPr>
        <w:ind w:firstLine="708"/>
        <w:jc w:val="both"/>
        <w:rPr/>
      </w:pPr>
      <w:r w:rsidDel="00000000" w:rsidR="00000000" w:rsidRPr="00000000">
        <w:rPr>
          <w:rtl w:val="0"/>
        </w:rPr>
      </w:r>
    </w:p>
    <w:p w:rsidR="00000000" w:rsidDel="00000000" w:rsidP="00000000" w:rsidRDefault="00000000" w:rsidRPr="00000000" w14:paraId="0000006C">
      <w:pPr>
        <w:ind w:firstLine="708"/>
        <w:jc w:val="both"/>
        <w:rPr/>
      </w:pPr>
      <w:r w:rsidDel="00000000" w:rsidR="00000000" w:rsidRPr="00000000">
        <w:rPr>
          <w:rtl w:val="0"/>
        </w:rPr>
        <w:t xml:space="preserve">La calificación final de cada evaluación se obtendrá de aplicar los siguientes porcentajes a la calificación obtenida en cada una de las competencias:</w:t>
      </w:r>
    </w:p>
    <w:p w:rsidR="00000000" w:rsidDel="00000000" w:rsidP="00000000" w:rsidRDefault="00000000" w:rsidRPr="00000000" w14:paraId="0000006D">
      <w:pPr>
        <w:ind w:firstLine="708"/>
        <w:jc w:val="both"/>
        <w:rPr/>
      </w:pPr>
      <w:r w:rsidDel="00000000" w:rsidR="00000000" w:rsidRPr="00000000">
        <w:rPr>
          <w:rtl w:val="0"/>
        </w:rPr>
      </w:r>
    </w:p>
    <w:tbl>
      <w:tblPr>
        <w:tblStyle w:val="Table2"/>
        <w:tblW w:w="91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5"/>
        <w:gridCol w:w="2052"/>
        <w:tblGridChange w:id="0">
          <w:tblGrid>
            <w:gridCol w:w="7095"/>
            <w:gridCol w:w="2052"/>
          </w:tblGrid>
        </w:tblGridChange>
      </w:tblGrid>
      <w:tr>
        <w:trPr>
          <w:cantSplit w:val="0"/>
          <w:tblHeader w:val="0"/>
        </w:trPr>
        <w:tc>
          <w:tcPr/>
          <w:p w:rsidR="00000000" w:rsidDel="00000000" w:rsidP="00000000" w:rsidRDefault="00000000" w:rsidRPr="00000000" w14:paraId="0000006E">
            <w:pPr>
              <w:jc w:val="center"/>
              <w:rPr>
                <w:b w:val="1"/>
              </w:rPr>
            </w:pPr>
            <w:r w:rsidDel="00000000" w:rsidR="00000000" w:rsidRPr="00000000">
              <w:rPr>
                <w:b w:val="1"/>
                <w:rtl w:val="0"/>
              </w:rPr>
              <w:t xml:space="preserve">COMPETENCIA</w:t>
            </w:r>
          </w:p>
        </w:tc>
        <w:tc>
          <w:tcPr/>
          <w:p w:rsidR="00000000" w:rsidDel="00000000" w:rsidP="00000000" w:rsidRDefault="00000000" w:rsidRPr="00000000" w14:paraId="0000006F">
            <w:pPr>
              <w:jc w:val="center"/>
              <w:rPr>
                <w:b w:val="1"/>
              </w:rPr>
            </w:pPr>
            <w:r w:rsidDel="00000000" w:rsidR="00000000" w:rsidRPr="00000000">
              <w:rPr>
                <w:b w:val="1"/>
                <w:rtl w:val="0"/>
              </w:rPr>
              <w:t xml:space="preserve">PESO SOBRE LA CALIFICACIÓN FINAL</w:t>
            </w:r>
          </w:p>
        </w:tc>
      </w:tr>
      <w:tr>
        <w:trPr>
          <w:cantSplit w:val="0"/>
          <w:tblHeader w:val="0"/>
        </w:trPr>
        <w:tc>
          <w:tcPr/>
          <w:p w:rsidR="00000000" w:rsidDel="00000000" w:rsidP="00000000" w:rsidRDefault="00000000" w:rsidRPr="00000000" w14:paraId="00000070">
            <w:pPr>
              <w:jc w:val="both"/>
              <w:rPr/>
            </w:pPr>
            <w:r w:rsidDel="00000000" w:rsidR="00000000" w:rsidRPr="00000000">
              <w:rPr>
                <w:rtl w:val="0"/>
              </w:rPr>
              <w:t xml:space="preserve">Comunicación Lingüística</w:t>
            </w:r>
          </w:p>
        </w:tc>
        <w:tc>
          <w:tcPr/>
          <w:p w:rsidR="00000000" w:rsidDel="00000000" w:rsidP="00000000" w:rsidRDefault="00000000" w:rsidRPr="00000000" w14:paraId="00000071">
            <w:pPr>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072">
            <w:pPr>
              <w:jc w:val="both"/>
              <w:rPr/>
            </w:pPr>
            <w:r w:rsidDel="00000000" w:rsidR="00000000" w:rsidRPr="00000000">
              <w:rPr>
                <w:rtl w:val="0"/>
              </w:rPr>
              <w:t xml:space="preserve">Plurilingüe</w:t>
            </w:r>
          </w:p>
        </w:tc>
        <w:tc>
          <w:tcPr/>
          <w:p w:rsidR="00000000" w:rsidDel="00000000" w:rsidP="00000000" w:rsidRDefault="00000000" w:rsidRPr="00000000" w14:paraId="0000007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4">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75">
            <w:pPr>
              <w:jc w:val="center"/>
              <w:rPr/>
            </w:pPr>
            <w:r w:rsidDel="00000000" w:rsidR="00000000" w:rsidRPr="00000000">
              <w:rPr>
                <w:rtl w:val="0"/>
              </w:rPr>
              <w:t xml:space="preserve">70%</w:t>
            </w:r>
          </w:p>
        </w:tc>
      </w:tr>
      <w:tr>
        <w:trPr>
          <w:cantSplit w:val="0"/>
          <w:tblHeader w:val="0"/>
        </w:trPr>
        <w:tc>
          <w:tcPr/>
          <w:p w:rsidR="00000000" w:rsidDel="00000000" w:rsidP="00000000" w:rsidRDefault="00000000" w:rsidRPr="00000000" w14:paraId="00000076">
            <w:pPr>
              <w:jc w:val="both"/>
              <w:rPr/>
            </w:pPr>
            <w:r w:rsidDel="00000000" w:rsidR="00000000" w:rsidRPr="00000000">
              <w:rPr>
                <w:rtl w:val="0"/>
              </w:rPr>
              <w:t xml:space="preserve">Digital</w:t>
            </w:r>
          </w:p>
        </w:tc>
        <w:tc>
          <w:tcPr/>
          <w:p w:rsidR="00000000" w:rsidDel="00000000" w:rsidP="00000000" w:rsidRDefault="00000000" w:rsidRPr="00000000" w14:paraId="00000077">
            <w:pPr>
              <w:jc w:val="cente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78">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79">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7A">
            <w:pPr>
              <w:jc w:val="both"/>
              <w:rPr/>
            </w:pPr>
            <w:r w:rsidDel="00000000" w:rsidR="00000000" w:rsidRPr="00000000">
              <w:rPr>
                <w:rtl w:val="0"/>
              </w:rPr>
              <w:t xml:space="preserve">Ciudadana</w:t>
            </w:r>
          </w:p>
        </w:tc>
        <w:tc>
          <w:tcPr/>
          <w:p w:rsidR="00000000" w:rsidDel="00000000" w:rsidP="00000000" w:rsidRDefault="00000000" w:rsidRPr="00000000" w14:paraId="0000007B">
            <w:pPr>
              <w:jc w:val="cente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07C">
            <w:pPr>
              <w:jc w:val="both"/>
              <w:rPr/>
            </w:pPr>
            <w:r w:rsidDel="00000000" w:rsidR="00000000" w:rsidRPr="00000000">
              <w:rPr>
                <w:rtl w:val="0"/>
              </w:rPr>
              <w:t xml:space="preserve">Emprendedora</w:t>
            </w:r>
          </w:p>
        </w:tc>
        <w:tc>
          <w:tcPr/>
          <w:p w:rsidR="00000000" w:rsidDel="00000000" w:rsidP="00000000" w:rsidRDefault="00000000" w:rsidRPr="00000000" w14:paraId="0000007D">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7E">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7F">
            <w:pPr>
              <w:jc w:val="center"/>
              <w:rPr/>
            </w:pPr>
            <w:r w:rsidDel="00000000" w:rsidR="00000000" w:rsidRPr="00000000">
              <w:rPr>
                <w:rtl w:val="0"/>
              </w:rPr>
            </w:r>
          </w:p>
        </w:tc>
      </w:tr>
    </w:tbl>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tab/>
        <w:t xml:space="preserve">La nota final de curso o parcial de evaluación se indicará acompañando a la calificación correspondiente, el valor numérico que corresponda a cada caso según se refleja la Orden 4997/2003 del Consejo de Educación, entendiéndose que ha alcanzado los objetivos con una calificación igual o superior a un 5. A cada competencia se le dará un valor en función de los mencionados criterios. </w:t>
      </w:r>
    </w:p>
    <w:p w:rsidR="00000000" w:rsidDel="00000000" w:rsidP="00000000" w:rsidRDefault="00000000" w:rsidRPr="00000000" w14:paraId="00000082">
      <w:pPr>
        <w:ind w:firstLine="567"/>
        <w:jc w:val="both"/>
        <w:rPr>
          <w:sz w:val="22"/>
          <w:szCs w:val="22"/>
        </w:rPr>
      </w:pPr>
      <w:r w:rsidDel="00000000" w:rsidR="00000000" w:rsidRPr="00000000">
        <w:rPr>
          <w:rtl w:val="0"/>
        </w:rPr>
      </w:r>
    </w:p>
    <w:p w:rsidR="00000000" w:rsidDel="00000000" w:rsidP="00000000" w:rsidRDefault="00000000" w:rsidRPr="00000000" w14:paraId="00000083">
      <w:pPr>
        <w:spacing w:after="120" w:before="120" w:lineRule="auto"/>
        <w:ind w:firstLine="708"/>
        <w:rPr/>
      </w:pPr>
      <w:r w:rsidDel="00000000" w:rsidR="00000000" w:rsidRPr="00000000">
        <w:rPr>
          <w:rtl w:val="0"/>
        </w:rPr>
        <w:t xml:space="preserve">Si en algún caso particular la asistencia regular y presencial establecida en el RRI no se cumple a ese alumno se le </w:t>
      </w:r>
      <w:r w:rsidDel="00000000" w:rsidR="00000000" w:rsidRPr="00000000">
        <w:rPr>
          <w:b w:val="1"/>
          <w:u w:val="single"/>
          <w:rtl w:val="0"/>
        </w:rPr>
        <w:t xml:space="preserve">desaplicará la evaluación continua</w:t>
      </w:r>
      <w:r w:rsidDel="00000000" w:rsidR="00000000" w:rsidRPr="00000000">
        <w:rPr>
          <w:rtl w:val="0"/>
        </w:rPr>
        <w:t xml:space="preserve">, con lo que el procedimiento para superar la materia será la realización de un solo examen sobre los contenidos del curso, que se considerará superado al obtener como mínimo un cinco sobre diez.</w:t>
      </w:r>
    </w:p>
    <w:p w:rsidR="00000000" w:rsidDel="00000000" w:rsidP="00000000" w:rsidRDefault="00000000" w:rsidRPr="00000000" w14:paraId="00000084">
      <w:pPr>
        <w:spacing w:after="120" w:before="120" w:lineRule="auto"/>
        <w:ind w:firstLine="709"/>
        <w:jc w:val="both"/>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Los alumnos que no hayan conseguido los mínimos exigibles y suspendan una, dos o las tres evaluaciones realizarán un examen, que recoja los contenidos mínimos que se fijan en las programaciones de cada nivel, a final de curso en el que se examinarán de la/s evaluación/es que tenga/n para poder recuperarla/s. En cualquier caso, el profesor de cada clase podrá decidir realizar estos exámenes de recuperación de evaluación antes de esta fecha, en función de la evolución de los alumnos con evaluaciones pendientes. Si el profesor decide recuperar también el trabajo de taller ante la dificultad de realizar el mismo, el profesor puede decidir sustituirlo por un trabajo escrito individual sobre la materia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87">
      <w:pPr>
        <w:pStyle w:val="Heading1"/>
        <w:numPr>
          <w:ilvl w:val="0"/>
          <w:numId w:val="1"/>
        </w:numPr>
        <w:spacing w:before="120" w:lineRule="auto"/>
        <w:ind w:left="709" w:hanging="709"/>
        <w:rPr>
          <w:rFonts w:ascii="Times New Roman" w:cs="Times New Roman" w:eastAsia="Times New Roman" w:hAnsi="Times New Roman"/>
        </w:rPr>
      </w:pPr>
      <w:bookmarkStart w:colFirst="0" w:colLast="0" w:name="_heading=h.wm5k32atb98d" w:id="2"/>
      <w:bookmarkEnd w:id="2"/>
      <w:r w:rsidDel="00000000" w:rsidR="00000000" w:rsidRPr="00000000">
        <w:rPr>
          <w:rFonts w:ascii="Times New Roman" w:cs="Times New Roman" w:eastAsia="Times New Roman" w:hAnsi="Times New Roman"/>
          <w:rtl w:val="0"/>
        </w:rPr>
        <w:t xml:space="preserve">Orientaciones, actividades de recuperación y apoyos para los alumnos con la materia pendiente (matriculados en cursos posteriores)</w:t>
      </w:r>
    </w:p>
    <w:p w:rsidR="00000000" w:rsidDel="00000000" w:rsidP="00000000" w:rsidRDefault="00000000" w:rsidRPr="00000000" w14:paraId="00000088">
      <w:pPr>
        <w:ind w:left="709" w:firstLine="0"/>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El procedimiento general de este departamento para aquellos alumnos que tienen alguna materia del departamento de un curso anterior pendiente se incluye el plan de refuerzo y apoyo educativo que consiste en la recuperación de dicha materia mediante un seguimiento por parte del profesor del alumno, si cursan la asignatura, y si no por parte de los profesores del departamento y específicamente el jefe de departamento, durante los dos primeros trimestres. Dicho seguimiento consiste en la realización de ejercicios y trabajos sobre contenidos específicos del curso pendiente, concretamente dos cuadernillos de ejercicios y dos trabajos.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ab/>
        <w:t xml:space="preserve">En caso de no haberse realizado dichos ejercicios y/o trabajos, el alumno se deberá presentar a un examen de pendientes en fecha determinada por el departamento y aprobada por Jefatura de Estudios. En cualquier caso, los alumnos que aprueben la misma materia en el curso siguiente recuperarán automáticamente la materia pendiente del que tienen pendiente, por ejemplo, </w:t>
      </w:r>
      <w:r w:rsidDel="00000000" w:rsidR="00000000" w:rsidRPr="00000000">
        <w:rPr>
          <w:rtl w:val="0"/>
        </w:rPr>
        <w:t xml:space="preserve">el alumno que apruebe la materia de tecnología y digitalización de 3ºESO recuperará automáticamente la materia pendiente de 2º,  el alumno que apruebe Ciencias de la Computación de 2ºESO recuperará automáticamente la materia pendiente de 1º. Es decir, la recuperación de la misma materia de un curso posterior recupera con un cinco la del curso inmediatamente anterior.</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No obstante, en el caso de alumnos de 4ºESO la materia “Tecnología” no sirve para aprobar la materia “Tecnología y digitalización” de los cursos previos, 3º y 2ª:</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bookmarkStart w:colFirst="0" w:colLast="0" w:name="_heading=h.q7ejcpukygrl" w:id="3"/>
      <w:bookmarkEnd w:id="3"/>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ab/>
        <w:t xml:space="preserve">A los alumnos se les facilita a principios de curso las instrucciones que detallan el proceso junto con los ya mencionados ejercicios y las condiciones para la elaboración de los trabajos. La segunda parte sólo se facilita a los alumnos que hayan cumplimentado la primera</w:t>
      </w:r>
      <w:r w:rsidDel="00000000" w:rsidR="00000000" w:rsidRPr="00000000">
        <w:rPr>
          <w:rtl w:val="0"/>
        </w:rPr>
      </w:r>
    </w:p>
    <w:sectPr>
      <w:headerReference r:id="rId9" w:type="default"/>
      <w:footerReference r:id="rId10" w:type="default"/>
      <w:pgSz w:h="16840" w:w="11907" w:orient="portrait"/>
      <w:pgMar w:bottom="964" w:top="1134" w:left="1701" w:right="1275" w:header="62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8E">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08" w:hanging="708"/>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16" w:hanging="708"/>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124" w:hanging="707.9999999999998"/>
    </w:pPr>
    <w:rPr>
      <w:rFonts w:ascii="Arial" w:cs="Arial" w:eastAsia="Arial" w:hAnsi="Arial"/>
      <w:sz w:val="24"/>
      <w:szCs w:val="24"/>
    </w:rPr>
  </w:style>
  <w:style w:type="paragraph" w:styleId="Heading4">
    <w:name w:val="heading 4"/>
    <w:basedOn w:val="Normal"/>
    <w:next w:val="Normal"/>
    <w:pPr>
      <w:keepNext w:val="1"/>
      <w:spacing w:after="60" w:before="240" w:lineRule="auto"/>
      <w:ind w:left="2832" w:hanging="708.0000000000001"/>
    </w:pPr>
    <w:rPr>
      <w:rFonts w:ascii="Arial" w:cs="Arial" w:eastAsia="Arial" w:hAnsi="Arial"/>
      <w:b w:val="1"/>
      <w:sz w:val="24"/>
      <w:szCs w:val="24"/>
    </w:rPr>
  </w:style>
  <w:style w:type="paragraph" w:styleId="Heading5">
    <w:name w:val="heading 5"/>
    <w:basedOn w:val="Normal"/>
    <w:next w:val="Normal"/>
    <w:pPr>
      <w:spacing w:after="60" w:before="240" w:lineRule="auto"/>
      <w:ind w:left="3540" w:hanging="708.0000000000001"/>
    </w:pPr>
    <w:rPr>
      <w:rFonts w:ascii="Arial" w:cs="Arial" w:eastAsia="Arial" w:hAnsi="Arial"/>
      <w:sz w:val="22"/>
      <w:szCs w:val="22"/>
    </w:rPr>
  </w:style>
  <w:style w:type="paragraph" w:styleId="Heading6">
    <w:name w:val="heading 6"/>
    <w:basedOn w:val="Normal"/>
    <w:next w:val="Normal"/>
    <w:pPr>
      <w:spacing w:after="60" w:before="240" w:lineRule="auto"/>
      <w:ind w:left="4248" w:hanging="708.0000000000001"/>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tulo7">
    <w:name w:val="heading 7"/>
    <w:basedOn w:val="Normal"/>
    <w:next w:val="Normal"/>
    <w:link w:val="Ttulo7Car"/>
    <w:qFormat w:val="1"/>
    <w:rsid w:val="00EC473E"/>
    <w:pPr>
      <w:numPr>
        <w:ilvl w:val="6"/>
        <w:numId w:val="4"/>
      </w:numPr>
      <w:spacing w:after="60" w:before="240"/>
      <w:outlineLvl w:val="6"/>
    </w:pPr>
    <w:rPr>
      <w:rFonts w:ascii="Arial" w:hAnsi="Arial"/>
    </w:rPr>
  </w:style>
  <w:style w:type="paragraph" w:styleId="Ttulo8">
    <w:name w:val="heading 8"/>
    <w:basedOn w:val="Normal"/>
    <w:next w:val="Normal"/>
    <w:link w:val="Ttulo8Car"/>
    <w:qFormat w:val="1"/>
    <w:rsid w:val="00EC473E"/>
    <w:pPr>
      <w:numPr>
        <w:ilvl w:val="7"/>
        <w:numId w:val="4"/>
      </w:numPr>
      <w:spacing w:after="60" w:before="240"/>
      <w:outlineLvl w:val="7"/>
    </w:pPr>
    <w:rPr>
      <w:rFonts w:ascii="Arial" w:hAnsi="Arial"/>
      <w:i w:val="1"/>
    </w:rPr>
  </w:style>
  <w:style w:type="paragraph" w:styleId="Ttulo9">
    <w:name w:val="heading 9"/>
    <w:basedOn w:val="Normal"/>
    <w:next w:val="Normal"/>
    <w:link w:val="Ttulo9Car"/>
    <w:qFormat w:val="1"/>
    <w:rsid w:val="00EC473E"/>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membrete" w:customStyle="1">
    <w:name w:val="membrete"/>
    <w:basedOn w:val="Normal"/>
    <w:rsid w:val="003A6C23"/>
  </w:style>
  <w:style w:type="character" w:styleId="Hipervnculo">
    <w:name w:val="Hyperlink"/>
    <w:uiPriority w:val="99"/>
    <w:rsid w:val="003A6C23"/>
    <w:rPr>
      <w:color w:val="0000ff"/>
      <w:u w:val="single"/>
    </w:rPr>
  </w:style>
  <w:style w:type="paragraph" w:styleId="Encabezado">
    <w:name w:val="header"/>
    <w:basedOn w:val="Normal"/>
    <w:rsid w:val="003A6C23"/>
    <w:pPr>
      <w:tabs>
        <w:tab w:val="center" w:pos="4252"/>
        <w:tab w:val="right" w:pos="8504"/>
      </w:tabs>
    </w:pPr>
  </w:style>
  <w:style w:type="paragraph" w:styleId="Piedepgina">
    <w:name w:val="footer"/>
    <w:basedOn w:val="Normal"/>
    <w:rsid w:val="003A6C23"/>
    <w:pPr>
      <w:tabs>
        <w:tab w:val="center" w:pos="4252"/>
        <w:tab w:val="right" w:pos="8504"/>
      </w:tabs>
    </w:pPr>
  </w:style>
  <w:style w:type="paragraph" w:styleId="Textodeglobo">
    <w:name w:val="Balloon Text"/>
    <w:basedOn w:val="Normal"/>
    <w:link w:val="TextodegloboCar"/>
    <w:rsid w:val="00C61B13"/>
    <w:rPr>
      <w:rFonts w:ascii="Tahoma" w:cs="Tahoma" w:hAnsi="Tahoma"/>
      <w:sz w:val="16"/>
      <w:szCs w:val="16"/>
    </w:rPr>
  </w:style>
  <w:style w:type="character" w:styleId="TextodegloboCar" w:customStyle="1">
    <w:name w:val="Texto de globo Car"/>
    <w:link w:val="Textodeglobo"/>
    <w:rsid w:val="00C61B13"/>
    <w:rPr>
      <w:rFonts w:ascii="Tahoma" w:cs="Tahoma" w:hAnsi="Tahoma"/>
      <w:sz w:val="16"/>
      <w:szCs w:val="16"/>
      <w:lang w:val="es-ES_tradnl"/>
    </w:rPr>
  </w:style>
  <w:style w:type="paragraph" w:styleId="Prrafodelista">
    <w:name w:val="List Paragraph"/>
    <w:basedOn w:val="Normal"/>
    <w:link w:val="PrrafodelistaCar"/>
    <w:uiPriority w:val="34"/>
    <w:qFormat w:val="1"/>
    <w:rsid w:val="00D60FF3"/>
    <w:pPr>
      <w:ind w:left="708"/>
    </w:pPr>
  </w:style>
  <w:style w:type="paragraph" w:styleId="TDC2">
    <w:name w:val="toc 2"/>
    <w:basedOn w:val="Normal"/>
    <w:next w:val="Normal"/>
    <w:autoRedefine w:val="1"/>
    <w:uiPriority w:val="39"/>
    <w:qFormat w:val="1"/>
    <w:rsid w:val="00EC473E"/>
    <w:pPr>
      <w:tabs>
        <w:tab w:val="right" w:leader="underscore" w:pos="9355"/>
      </w:tabs>
      <w:spacing w:before="120"/>
      <w:ind w:left="200"/>
    </w:pPr>
    <w:rPr>
      <w:b w:val="1"/>
      <w:sz w:val="22"/>
    </w:rPr>
  </w:style>
  <w:style w:type="character" w:styleId="Ttulo1Car" w:customStyle="1">
    <w:name w:val="Título 1 Car"/>
    <w:link w:val="Ttulo1"/>
    <w:rsid w:val="00EC473E"/>
    <w:rPr>
      <w:rFonts w:ascii="Arial" w:hAnsi="Arial"/>
      <w:b w:val="1"/>
      <w:kern w:val="28"/>
      <w:sz w:val="28"/>
      <w:lang w:eastAsia="es-ES"/>
    </w:rPr>
  </w:style>
  <w:style w:type="character" w:styleId="Ttulo2Car" w:customStyle="1">
    <w:name w:val="Título 2 Car"/>
    <w:link w:val="Ttulo2"/>
    <w:rsid w:val="00EC473E"/>
    <w:rPr>
      <w:rFonts w:ascii="Arial" w:hAnsi="Arial"/>
      <w:b w:val="1"/>
      <w:i w:val="1"/>
      <w:sz w:val="24"/>
      <w:lang w:val="es-ES_tradnl"/>
    </w:rPr>
  </w:style>
  <w:style w:type="character" w:styleId="Ttulo3Car" w:customStyle="1">
    <w:name w:val="Título 3 Car"/>
    <w:link w:val="Ttulo3"/>
    <w:rsid w:val="00EC473E"/>
    <w:rPr>
      <w:rFonts w:ascii="Arial" w:hAnsi="Arial"/>
      <w:sz w:val="24"/>
      <w:lang w:val="es-ES_tradnl"/>
    </w:rPr>
  </w:style>
  <w:style w:type="character" w:styleId="Ttulo4Car" w:customStyle="1">
    <w:name w:val="Título 4 Car"/>
    <w:link w:val="Ttulo4"/>
    <w:rsid w:val="00EC473E"/>
    <w:rPr>
      <w:rFonts w:ascii="Arial" w:hAnsi="Arial"/>
      <w:b w:val="1"/>
      <w:sz w:val="24"/>
      <w:lang w:val="es-ES_tradnl"/>
    </w:rPr>
  </w:style>
  <w:style w:type="character" w:styleId="Ttulo5Car" w:customStyle="1">
    <w:name w:val="Título 5 Car"/>
    <w:link w:val="Ttulo5"/>
    <w:rsid w:val="00EC473E"/>
    <w:rPr>
      <w:rFonts w:ascii="Arial" w:hAnsi="Arial"/>
      <w:sz w:val="22"/>
      <w:lang w:val="es-ES_tradnl"/>
    </w:rPr>
  </w:style>
  <w:style w:type="character" w:styleId="Ttulo6Car" w:customStyle="1">
    <w:name w:val="Título 6 Car"/>
    <w:link w:val="Ttulo6"/>
    <w:rsid w:val="00EC473E"/>
    <w:rPr>
      <w:i w:val="1"/>
      <w:sz w:val="22"/>
      <w:lang w:val="es-ES_tradnl"/>
    </w:rPr>
  </w:style>
  <w:style w:type="character" w:styleId="Ttulo7Car" w:customStyle="1">
    <w:name w:val="Título 7 Car"/>
    <w:link w:val="Ttulo7"/>
    <w:rsid w:val="00EC473E"/>
    <w:rPr>
      <w:rFonts w:ascii="Arial" w:hAnsi="Arial"/>
      <w:lang w:val="es-ES_tradnl"/>
    </w:rPr>
  </w:style>
  <w:style w:type="character" w:styleId="Ttulo8Car" w:customStyle="1">
    <w:name w:val="Título 8 Car"/>
    <w:link w:val="Ttulo8"/>
    <w:rsid w:val="00EC473E"/>
    <w:rPr>
      <w:rFonts w:ascii="Arial" w:hAnsi="Arial"/>
      <w:i w:val="1"/>
      <w:lang w:val="es-ES_tradnl"/>
    </w:rPr>
  </w:style>
  <w:style w:type="character" w:styleId="Ttulo9Car" w:customStyle="1">
    <w:name w:val="Título 9 Car"/>
    <w:link w:val="Ttulo9"/>
    <w:rsid w:val="00EC473E"/>
    <w:rPr>
      <w:rFonts w:ascii="Arial" w:hAnsi="Arial"/>
      <w:b w:val="1"/>
      <w:i w:val="1"/>
      <w:sz w:val="18"/>
      <w:lang w:val="es-ES_tradnl"/>
    </w:rPr>
  </w:style>
  <w:style w:type="paragraph" w:styleId="TDC1">
    <w:name w:val="toc 1"/>
    <w:basedOn w:val="Normal"/>
    <w:next w:val="Normal"/>
    <w:autoRedefine w:val="1"/>
    <w:uiPriority w:val="39"/>
    <w:qFormat w:val="1"/>
    <w:rsid w:val="007D3302"/>
  </w:style>
  <w:style w:type="paragraph" w:styleId="TtulodeTDC">
    <w:name w:val="TOC Heading"/>
    <w:basedOn w:val="Ttulo1"/>
    <w:next w:val="Normal"/>
    <w:uiPriority w:val="39"/>
    <w:semiHidden w:val="1"/>
    <w:unhideWhenUsed w:val="1"/>
    <w:qFormat w:val="1"/>
    <w:rsid w:val="007D3302"/>
    <w:pPr>
      <w:keepLines w:val="1"/>
      <w:numPr>
        <w:numId w:val="0"/>
      </w:numPr>
      <w:spacing w:after="0" w:before="480" w:line="276" w:lineRule="auto"/>
      <w:outlineLvl w:val="9"/>
    </w:pPr>
    <w:rPr>
      <w:rFonts w:ascii="Cambria" w:hAnsi="Cambria"/>
      <w:bCs w:val="1"/>
      <w:color w:val="365f91"/>
      <w:kern w:val="0"/>
      <w:szCs w:val="28"/>
      <w:lang w:eastAsia="en-US" w:val="es-ES"/>
    </w:rPr>
  </w:style>
  <w:style w:type="paragraph" w:styleId="TDC3">
    <w:name w:val="toc 3"/>
    <w:basedOn w:val="Normal"/>
    <w:next w:val="Normal"/>
    <w:autoRedefine w:val="1"/>
    <w:uiPriority w:val="39"/>
    <w:unhideWhenUsed w:val="1"/>
    <w:qFormat w:val="1"/>
    <w:rsid w:val="007D3302"/>
    <w:pPr>
      <w:spacing w:after="100" w:line="276" w:lineRule="auto"/>
      <w:ind w:left="440"/>
    </w:pPr>
    <w:rPr>
      <w:rFonts w:ascii="Calibri" w:hAnsi="Calibri"/>
      <w:sz w:val="22"/>
      <w:szCs w:val="22"/>
      <w:lang w:eastAsia="en-US" w:val="es-ES"/>
    </w:rPr>
  </w:style>
  <w:style w:type="character" w:styleId="PrrafodelistaCar" w:customStyle="1">
    <w:name w:val="Párrafo de lista Car"/>
    <w:link w:val="Prrafodelista"/>
    <w:uiPriority w:val="34"/>
    <w:qFormat w:val="1"/>
    <w:locked w:val="1"/>
    <w:rsid w:val="00826751"/>
    <w:rPr>
      <w:lang w:val="es-ES_tradnl"/>
    </w:rPr>
  </w:style>
  <w:style w:type="paragraph" w:styleId="Textoindependiente3">
    <w:name w:val="Body Text 3"/>
    <w:basedOn w:val="Normal"/>
    <w:link w:val="Textoindependiente3Car"/>
    <w:uiPriority w:val="99"/>
    <w:rsid w:val="00242EB1"/>
    <w:pPr>
      <w:suppressAutoHyphens w:val="1"/>
      <w:jc w:val="both"/>
    </w:pPr>
    <w:rPr>
      <w:noProof w:val="1"/>
      <w:sz w:val="24"/>
      <w:lang w:val="es-ES"/>
    </w:rPr>
  </w:style>
  <w:style w:type="character" w:styleId="Textoindependiente3Car" w:customStyle="1">
    <w:name w:val="Texto independiente 3 Car"/>
    <w:basedOn w:val="Fuentedeprrafopredeter"/>
    <w:link w:val="Textoindependiente3"/>
    <w:uiPriority w:val="99"/>
    <w:rsid w:val="00242EB1"/>
    <w:rPr>
      <w:noProof w:val="1"/>
      <w:sz w:val="24"/>
    </w:rPr>
  </w:style>
  <w:style w:type="paragraph" w:styleId="Textoindependiente">
    <w:name w:val="Body Text"/>
    <w:basedOn w:val="Normal"/>
    <w:link w:val="TextoindependienteCar"/>
    <w:unhideWhenUsed w:val="1"/>
    <w:rsid w:val="00242EB1"/>
    <w:pPr>
      <w:spacing w:after="120"/>
    </w:pPr>
  </w:style>
  <w:style w:type="character" w:styleId="TextoindependienteCar" w:customStyle="1">
    <w:name w:val="Texto independiente Car"/>
    <w:basedOn w:val="Fuentedeprrafopredeter"/>
    <w:link w:val="Textoindependiente"/>
    <w:rsid w:val="00242EB1"/>
    <w:rPr>
      <w:lang w:val="es-ES_tradnl"/>
    </w:rPr>
  </w:style>
  <w:style w:type="paragraph" w:styleId="ParrafoC" w:customStyle="1">
    <w:name w:val="ParrafoC"/>
    <w:rsid w:val="002E3041"/>
    <w:pPr>
      <w:widowControl w:val="0"/>
      <w:suppressAutoHyphens w:val="1"/>
      <w:ind w:firstLine="283"/>
      <w:jc w:val="both"/>
    </w:pPr>
    <w:rPr>
      <w:rFonts w:ascii="Arial" w:cs="Tahoma" w:eastAsia="Lucida Sans Unicode" w:hAnsi="Arial"/>
      <w:sz w:val="18"/>
      <w:szCs w:val="18"/>
      <w:lang w:eastAsia="es-ES_tradnl" w:val="es-ES_tradnl"/>
    </w:rPr>
  </w:style>
  <w:style w:type="table" w:styleId="Tablaconcuadrcula">
    <w:name w:val="Table Grid"/>
    <w:basedOn w:val="Tablanormal"/>
    <w:uiPriority w:val="59"/>
    <w:qFormat w:val="1"/>
    <w:rsid w:val="00DB43C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1B6DB5"/>
    <w:pPr>
      <w:autoSpaceDE w:val="0"/>
      <w:autoSpaceDN w:val="0"/>
      <w:adjustRightInd w:val="0"/>
    </w:pPr>
    <w:rPr>
      <w:rFonts w:ascii="Arial" w:cs="Arial" w:hAnsi="Arial"/>
      <w:color w:val="000000"/>
      <w:sz w:val="24"/>
      <w:szCs w:val="24"/>
    </w:rPr>
  </w:style>
  <w:style w:type="paragraph" w:styleId="Pra4BOLO1" w:customStyle="1">
    <w:name w:val="Pra4_BOLO 1"/>
    <w:basedOn w:val="Normal"/>
    <w:rsid w:val="001B6DB5"/>
    <w:pPr>
      <w:numPr>
        <w:numId w:val="45"/>
      </w:numPr>
      <w:spacing w:after="120"/>
      <w:jc w:val="both"/>
    </w:pPr>
    <w:rPr>
      <w:rFonts w:ascii="Arial" w:hAnsi="Arial"/>
      <w:sz w:val="22"/>
      <w:szCs w:val="22"/>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lRODXfAl0FfvxLavRqh94GWqvg==">CgMxLjAyDmguOThrMDU0cXl2MHU5Mg5oLnpmNTZlOGJwanVnMTIOaC53bTVrMzJhdGI5OGQyDmgucTdlamNwdWt5Z3JsOAByITFRVlBONTlqMlhGdmYyS1JEYi1QUG1UTXVNQVJNRmVlTQ==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2023-10-16T17:36:00Z</dcterms:created>
  <dc:creator>pc</dc:creator>
</cp:coreProperties>
</file>