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D1" w:rsidRPr="00E85A58" w:rsidRDefault="00752CBF" w:rsidP="00E85A58">
      <w:pPr>
        <w:spacing w:line="276" w:lineRule="auto"/>
        <w:jc w:val="center"/>
        <w:rPr>
          <w:rFonts w:cstheme="minorHAnsi"/>
          <w:color w:val="8496B0" w:themeColor="text2" w:themeTint="99"/>
          <w:sz w:val="60"/>
          <w:szCs w:val="60"/>
        </w:rPr>
      </w:pPr>
      <w:bookmarkStart w:id="0" w:name="_GoBack"/>
      <w:bookmarkEnd w:id="0"/>
      <w:r w:rsidRPr="00E85A58">
        <w:rPr>
          <w:rFonts w:cstheme="minorHAnsi"/>
          <w:color w:val="8496B0" w:themeColor="text2" w:themeTint="99"/>
          <w:sz w:val="60"/>
          <w:szCs w:val="60"/>
        </w:rPr>
        <w:t>I</w:t>
      </w:r>
      <w:r w:rsidR="00E85A58" w:rsidRPr="00E85A58">
        <w:rPr>
          <w:rFonts w:cstheme="minorHAnsi"/>
          <w:color w:val="8496B0" w:themeColor="text2" w:themeTint="99"/>
          <w:sz w:val="60"/>
          <w:szCs w:val="60"/>
        </w:rPr>
        <w:t>NFORMACIÓN A LAS FAMILIAS</w:t>
      </w:r>
    </w:p>
    <w:p w:rsidR="00E85A58" w:rsidRPr="00686B08" w:rsidRDefault="00E85A58" w:rsidP="00E85A58">
      <w:pPr>
        <w:spacing w:line="276" w:lineRule="auto"/>
        <w:jc w:val="center"/>
        <w:rPr>
          <w:rFonts w:cstheme="minorHAnsi"/>
          <w:color w:val="8496B0" w:themeColor="text2" w:themeTint="99"/>
          <w:sz w:val="96"/>
          <w:szCs w:val="96"/>
        </w:rPr>
      </w:pPr>
      <w:r w:rsidRPr="00686B08">
        <w:rPr>
          <w:rFonts w:cstheme="minorHAnsi"/>
          <w:color w:val="8496B0" w:themeColor="text2" w:themeTint="99"/>
          <w:sz w:val="96"/>
          <w:szCs w:val="96"/>
        </w:rPr>
        <w:t xml:space="preserve">ÁMBITO SOCIOLINGÜÍSTICO </w:t>
      </w:r>
    </w:p>
    <w:p w:rsidR="00E85A58" w:rsidRPr="00686B08" w:rsidRDefault="00E85A58" w:rsidP="00E85A58">
      <w:pPr>
        <w:spacing w:line="276" w:lineRule="auto"/>
        <w:jc w:val="center"/>
        <w:rPr>
          <w:rFonts w:cstheme="minorHAnsi"/>
          <w:color w:val="8496B0" w:themeColor="text2" w:themeTint="99"/>
          <w:sz w:val="96"/>
          <w:szCs w:val="96"/>
        </w:rPr>
      </w:pPr>
    </w:p>
    <w:p w:rsidR="00E85A58" w:rsidRPr="00686B08" w:rsidRDefault="00E85A58" w:rsidP="00E85A58">
      <w:pPr>
        <w:spacing w:line="276" w:lineRule="auto"/>
        <w:jc w:val="center"/>
        <w:rPr>
          <w:rFonts w:cstheme="minorHAnsi"/>
          <w:color w:val="8496B0" w:themeColor="text2" w:themeTint="99"/>
          <w:sz w:val="96"/>
          <w:szCs w:val="96"/>
        </w:rPr>
      </w:pPr>
      <w:r>
        <w:rPr>
          <w:rFonts w:cstheme="minorHAnsi"/>
          <w:color w:val="8496B0" w:themeColor="text2" w:themeTint="99"/>
          <w:sz w:val="96"/>
          <w:szCs w:val="96"/>
        </w:rPr>
        <w:t>4</w:t>
      </w:r>
      <w:r w:rsidRPr="00686B08">
        <w:rPr>
          <w:rFonts w:cstheme="minorHAnsi"/>
          <w:color w:val="8496B0" w:themeColor="text2" w:themeTint="99"/>
          <w:sz w:val="96"/>
          <w:szCs w:val="96"/>
        </w:rPr>
        <w:t>º DE DIVERSIFICACIÓN.</w:t>
      </w: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tabs>
          <w:tab w:val="center" w:pos="4252"/>
          <w:tab w:val="right" w:pos="8504"/>
        </w:tabs>
        <w:spacing w:line="276" w:lineRule="auto"/>
        <w:rPr>
          <w:color w:val="000000"/>
        </w:rPr>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pPr>
    </w:p>
    <w:p w:rsidR="00E85A58" w:rsidRDefault="00E85A58" w:rsidP="00E85A58">
      <w:pPr>
        <w:spacing w:line="276" w:lineRule="auto"/>
        <w:rPr>
          <w:color w:val="366091"/>
        </w:rPr>
      </w:pPr>
    </w:p>
    <w:p w:rsidR="00E85A58" w:rsidRDefault="00E85A58" w:rsidP="00E85A58">
      <w:pPr>
        <w:spacing w:line="276" w:lineRule="auto"/>
        <w:jc w:val="right"/>
        <w:rPr>
          <w:rFonts w:ascii="Tahoma" w:eastAsia="Tahoma" w:hAnsi="Tahoma" w:cs="Tahoma"/>
          <w:b/>
          <w:color w:val="0070C0"/>
          <w:sz w:val="32"/>
          <w:szCs w:val="32"/>
        </w:rPr>
      </w:pPr>
      <w:r>
        <w:rPr>
          <w:rFonts w:ascii="Tahoma" w:eastAsia="Tahoma" w:hAnsi="Tahoma" w:cs="Tahoma"/>
          <w:b/>
          <w:color w:val="0070C0"/>
          <w:sz w:val="32"/>
          <w:szCs w:val="32"/>
        </w:rPr>
        <w:t>IES JOSEFINA ALDECOA</w:t>
      </w:r>
    </w:p>
    <w:p w:rsidR="00E85A58" w:rsidRDefault="00E85A58" w:rsidP="00E85A58">
      <w:pPr>
        <w:spacing w:line="276" w:lineRule="auto"/>
        <w:jc w:val="right"/>
        <w:rPr>
          <w:rFonts w:ascii="Tahoma" w:eastAsia="Tahoma" w:hAnsi="Tahoma" w:cs="Tahoma"/>
          <w:color w:val="0070C0"/>
        </w:rPr>
      </w:pPr>
      <w:r>
        <w:rPr>
          <w:rFonts w:ascii="Tahoma" w:eastAsia="Tahoma" w:hAnsi="Tahoma" w:cs="Tahoma"/>
          <w:b/>
          <w:color w:val="0070C0"/>
          <w:sz w:val="32"/>
          <w:szCs w:val="32"/>
        </w:rPr>
        <w:t>DEPARTAMENTO DE: Lengua castellana y literatura</w:t>
      </w:r>
    </w:p>
    <w:p w:rsidR="00E85A58" w:rsidRDefault="00E85A58" w:rsidP="00E85A58">
      <w:pPr>
        <w:spacing w:line="276" w:lineRule="auto"/>
        <w:jc w:val="right"/>
        <w:rPr>
          <w:rFonts w:ascii="Tahoma" w:eastAsia="Tahoma" w:hAnsi="Tahoma" w:cs="Tahoma"/>
          <w:b/>
          <w:color w:val="0070C0"/>
          <w:sz w:val="32"/>
          <w:szCs w:val="32"/>
        </w:rPr>
      </w:pPr>
      <w:r>
        <w:rPr>
          <w:rFonts w:ascii="Tahoma" w:eastAsia="Tahoma" w:hAnsi="Tahoma" w:cs="Tahoma"/>
          <w:b/>
          <w:color w:val="0070C0"/>
          <w:sz w:val="32"/>
          <w:szCs w:val="32"/>
        </w:rPr>
        <w:t>CURSO 2025-26</w:t>
      </w:r>
    </w:p>
    <w:p w:rsidR="00E85A58" w:rsidRDefault="00E85A58" w:rsidP="00E85A58">
      <w:pPr>
        <w:spacing w:line="276" w:lineRule="auto"/>
        <w:jc w:val="right"/>
        <w:rPr>
          <w:rFonts w:ascii="Tahoma" w:eastAsia="Tahoma" w:hAnsi="Tahoma" w:cs="Tahoma"/>
          <w:color w:val="0070C0"/>
          <w:sz w:val="31"/>
          <w:szCs w:val="31"/>
        </w:rPr>
      </w:pPr>
      <w:r>
        <w:rPr>
          <w:rFonts w:ascii="Tahoma" w:eastAsia="Tahoma" w:hAnsi="Tahoma" w:cs="Tahoma"/>
          <w:b/>
          <w:color w:val="0070C0"/>
          <w:sz w:val="32"/>
          <w:szCs w:val="32"/>
        </w:rPr>
        <w:t xml:space="preserve">FECHA ÚLTIMA ACTUALIZACIÓN: </w:t>
      </w:r>
      <w:r>
        <w:rPr>
          <w:rFonts w:ascii="Tahoma" w:eastAsia="Tahoma" w:hAnsi="Tahoma" w:cs="Tahoma"/>
          <w:color w:val="0070C0"/>
          <w:sz w:val="31"/>
          <w:szCs w:val="31"/>
        </w:rPr>
        <w:t>Octubre 2025</w:t>
      </w:r>
    </w:p>
    <w:p w:rsidR="00E85A58" w:rsidRDefault="00E85A58">
      <w:pPr>
        <w:spacing w:after="0" w:line="240" w:lineRule="auto"/>
      </w:pPr>
      <w:r>
        <w:br w:type="page"/>
      </w:r>
    </w:p>
    <w:p w:rsidR="00F619D1" w:rsidRDefault="00752CBF">
      <w:r>
        <w:lastRenderedPageBreak/>
        <w:t xml:space="preserve">Los </w:t>
      </w:r>
      <w:r>
        <w:rPr>
          <w:b/>
        </w:rPr>
        <w:t>procedimientos de evaluación</w:t>
      </w:r>
      <w:r>
        <w:t xml:space="preserve"> del estudiante deben:</w:t>
      </w:r>
    </w:p>
    <w:p w:rsidR="00F619D1" w:rsidRDefault="00752CBF">
      <w:pPr>
        <w:numPr>
          <w:ilvl w:val="0"/>
          <w:numId w:val="1"/>
        </w:numPr>
      </w:pPr>
      <w:r>
        <w:t>Ser diseñados para medir la consecución de los resultados del aprendizaje esperados conforme a los objetivos del currículo de la materia.</w:t>
      </w:r>
    </w:p>
    <w:p w:rsidR="00F619D1" w:rsidRDefault="00752CBF">
      <w:pPr>
        <w:numPr>
          <w:ilvl w:val="0"/>
          <w:numId w:val="1"/>
        </w:numPr>
      </w:pPr>
      <w:r>
        <w:t>Ser apropiados para sus fines, ya sean de diagnóstico, formativos o sumativos.</w:t>
      </w:r>
    </w:p>
    <w:p w:rsidR="00F619D1" w:rsidRDefault="00752CBF">
      <w:pPr>
        <w:numPr>
          <w:ilvl w:val="0"/>
          <w:numId w:val="1"/>
        </w:numPr>
      </w:pPr>
      <w:r>
        <w:t>Incluir indicadores de calificación claros y públicos.</w:t>
      </w:r>
    </w:p>
    <w:p w:rsidR="00F619D1" w:rsidRDefault="00752CBF">
      <w:pPr>
        <w:numPr>
          <w:ilvl w:val="0"/>
          <w:numId w:val="1"/>
        </w:numPr>
      </w:pPr>
      <w:r>
        <w:t>Ser llevados a cabo por profesores que comprendan el papel de la evaluación en la progresión de los estudiantes hacia la adquisición de los conocimientos y habilidades asociados a la materia que imparten.</w:t>
      </w:r>
    </w:p>
    <w:p w:rsidR="00F619D1" w:rsidRDefault="00752CBF">
      <w:pPr>
        <w:numPr>
          <w:ilvl w:val="0"/>
          <w:numId w:val="1"/>
        </w:numPr>
      </w:pPr>
      <w:r>
        <w:t>No depender del juicio de un solo dato.</w:t>
      </w:r>
    </w:p>
    <w:p w:rsidR="00F619D1" w:rsidRDefault="00752CBF">
      <w:pPr>
        <w:numPr>
          <w:ilvl w:val="0"/>
          <w:numId w:val="1"/>
        </w:numPr>
      </w:pPr>
      <w:r>
        <w:t>Tener en cuenta todas las posibles consecuencias de la normativa sobre evaluación.</w:t>
      </w:r>
    </w:p>
    <w:p w:rsidR="00F619D1" w:rsidRDefault="00752CBF">
      <w:pPr>
        <w:numPr>
          <w:ilvl w:val="0"/>
          <w:numId w:val="1"/>
        </w:numPr>
      </w:pPr>
      <w:r>
        <w:t>Incluir normas claras que contemplen las ausencias, enfermedades u otras circunstancias atenuantes de los estudiantes.</w:t>
      </w:r>
    </w:p>
    <w:p w:rsidR="00F619D1" w:rsidRDefault="00752CBF">
      <w:pPr>
        <w:numPr>
          <w:ilvl w:val="0"/>
          <w:numId w:val="1"/>
        </w:numPr>
      </w:pPr>
      <w:r>
        <w:t>Asegurar que las evaluaciones se realizan de acuerdo con los procedimientos establecidos por la institución.</w:t>
      </w:r>
    </w:p>
    <w:p w:rsidR="00F619D1" w:rsidRDefault="00752CBF">
      <w:pPr>
        <w:numPr>
          <w:ilvl w:val="0"/>
          <w:numId w:val="1"/>
        </w:numPr>
      </w:pPr>
      <w:r>
        <w:t>Estar sujetos a las inspecciones administrativas de verificación para asegurar el correcto cumplimiento de los procedimientos.</w:t>
      </w:r>
    </w:p>
    <w:p w:rsidR="00F619D1" w:rsidRDefault="00752CBF">
      <w:r>
        <w:t>Ejemplos de métodos de evaluación:</w:t>
      </w:r>
    </w:p>
    <w:p w:rsidR="00F619D1" w:rsidRDefault="00752CBF">
      <w:r>
        <w:t>a) Autoevaluación: participación del alumno en la identificación y selección de criterios a aplicar en su aprendizaje y en la emisión de juicios sobre en qué medida ha alcanzado dichos criterios.</w:t>
      </w:r>
    </w:p>
    <w:p w:rsidR="00F619D1" w:rsidRDefault="00752CBF">
      <w:r>
        <w:t>b) Evaluación entre pares o iguales: situación en la que los alumnos valoran la cantidad, nivel, valor, calidad o éxito del producto o resultado del aprendizaje de los compañeros de su clase (evaluación entre iguales). En la evaluación entre iguales puede o no haber discusión previa y aceptación de criterios. Además, puede implicar simplemente un feedback cualitativo o bien una puntuación o calificación.</w:t>
      </w:r>
    </w:p>
    <w:p w:rsidR="00F619D1" w:rsidRDefault="00752CBF">
      <w:r>
        <w:t>c) Revisión entre pares: La calificación es generada por el profesor a partir de unos determinados criterios pactados) y cada estudiante pondera o distribuye esa calificación entre los diferentes miembros del grupo de trabajo.</w:t>
      </w:r>
    </w:p>
    <w:p w:rsidR="00F619D1" w:rsidRDefault="00752CBF">
      <w:r>
        <w:t>Para establecer el sistema o procedimiento de evaluación de cada materia se pueden seguir los siguientes pasos:</w:t>
      </w:r>
    </w:p>
    <w:p w:rsidR="00F619D1" w:rsidRDefault="00752CBF">
      <w:r>
        <w:t>1. Determinar el tipo de pruebas/evidencias a evaluar.</w:t>
      </w:r>
    </w:p>
    <w:p w:rsidR="00F619D1" w:rsidRDefault="00752CBF">
      <w:r>
        <w:t>2. Indicar los criterios de evaluación y competencias específicas que cubre cada prueba.</w:t>
      </w:r>
    </w:p>
    <w:p w:rsidR="00F619D1" w:rsidRDefault="00752CBF">
      <w:r>
        <w:t>3. Establecer la ponderación de cada prueba.</w:t>
      </w:r>
    </w:p>
    <w:p w:rsidR="00F619D1" w:rsidRDefault="00752CBF">
      <w:r>
        <w:t xml:space="preserve">4. Describir los diferentes sistemas de recuperación por cada criterio: </w:t>
      </w:r>
    </w:p>
    <w:p w:rsidR="00F619D1" w:rsidRDefault="00752CBF">
      <w:pPr>
        <w:numPr>
          <w:ilvl w:val="0"/>
          <w:numId w:val="2"/>
        </w:numPr>
      </w:pPr>
      <w:r>
        <w:t xml:space="preserve">Examen oral. Prueba escrita de respuesta abierta. </w:t>
      </w:r>
    </w:p>
    <w:p w:rsidR="00F619D1" w:rsidRDefault="00752CBF">
      <w:pPr>
        <w:numPr>
          <w:ilvl w:val="0"/>
          <w:numId w:val="2"/>
        </w:numPr>
      </w:pPr>
      <w:r>
        <w:lastRenderedPageBreak/>
        <w:t xml:space="preserve">Prueba con control cronometrado, en la que el alumno construye su respuesta. Se puede conceder el derecho a consultar material de apoyo. </w:t>
      </w:r>
    </w:p>
    <w:p w:rsidR="00F619D1" w:rsidRDefault="00752CBF">
      <w:pPr>
        <w:numPr>
          <w:ilvl w:val="0"/>
          <w:numId w:val="2"/>
        </w:numPr>
      </w:pPr>
      <w:r>
        <w:t xml:space="preserve">Pruebas objetivas (tipo test) Examen escrito estructurado con diversas preguntas en los que el alumno no elabora la respuesta, solo ha de señalarla o completarla. </w:t>
      </w:r>
    </w:p>
    <w:p w:rsidR="00F619D1" w:rsidRDefault="00752CBF">
      <w:pPr>
        <w:numPr>
          <w:ilvl w:val="0"/>
          <w:numId w:val="2"/>
        </w:numPr>
      </w:pPr>
      <w:r>
        <w:t>Mapa conceptual que muestra la forma de relacionar los conceptos clave de un área temática.</w:t>
      </w:r>
    </w:p>
    <w:p w:rsidR="00F619D1" w:rsidRDefault="00752CBF">
      <w:pPr>
        <w:numPr>
          <w:ilvl w:val="0"/>
          <w:numId w:val="2"/>
        </w:numPr>
      </w:pPr>
      <w:r>
        <w:t xml:space="preserve"> Trabajo académico: Desarrollo de un proyecto que puede ir desde trabajos breves y sencillos hasta trabajos amplios y complejos.</w:t>
      </w:r>
    </w:p>
    <w:p w:rsidR="00F619D1" w:rsidRDefault="00752CBF">
      <w:pPr>
        <w:numPr>
          <w:ilvl w:val="0"/>
          <w:numId w:val="2"/>
        </w:numPr>
      </w:pPr>
      <w:r>
        <w:t xml:space="preserve"> Portafolio Conjunto documental elaborado por un estudiante que muestra la tarea realizada durante el curso en una materia determinada.</w:t>
      </w:r>
    </w:p>
    <w:p w:rsidR="00F619D1" w:rsidRDefault="00752CBF">
      <w:pPr>
        <w:numPr>
          <w:ilvl w:val="0"/>
          <w:numId w:val="2"/>
        </w:numPr>
      </w:pPr>
      <w:r>
        <w:t xml:space="preserve"> Proyecto: Es una estrategia didáctica en la que los estudiantes desarrollan un producto nuevo y único mediante la realización de una serie de tareas y el uso efectivo de diversos recursos. Observación: Estrategia basada en la recogida sistemática de datos en el propio contexto de aprendizaje: ejecución de tareas o prácticas. Exposición oral: Cada estudiante demostrar ser capaz de buscar, recopilar sintetizar y transmitir información al resto del alumnado.</w:t>
      </w:r>
    </w:p>
    <w:p w:rsidR="00F619D1" w:rsidRDefault="00752CBF">
      <w:pPr>
        <w:numPr>
          <w:ilvl w:val="0"/>
          <w:numId w:val="2"/>
        </w:numPr>
      </w:pPr>
      <w:r>
        <w:t>Rúbricas.</w:t>
      </w:r>
    </w:p>
    <w:p w:rsidR="00F619D1" w:rsidRDefault="00752CBF">
      <w:pPr>
        <w:numPr>
          <w:ilvl w:val="0"/>
          <w:numId w:val="2"/>
        </w:numPr>
      </w:pPr>
      <w:r>
        <w:t xml:space="preserve"> Ejemplos de rúbrica.</w:t>
      </w:r>
    </w:p>
    <w:p w:rsidR="00F619D1" w:rsidRDefault="00F619D1"/>
    <w:p w:rsidR="00F619D1" w:rsidRDefault="00F619D1"/>
    <w:p w:rsidR="00F619D1" w:rsidRDefault="00752CBF">
      <w:pPr>
        <w:rPr>
          <w:b/>
          <w:bCs/>
        </w:rPr>
      </w:pPr>
      <w:r>
        <w:rPr>
          <w:b/>
          <w:bCs/>
        </w:rPr>
        <w:t>CONTENIDOS</w:t>
      </w:r>
    </w:p>
    <w:p w:rsidR="00F619D1" w:rsidRDefault="00F619D1"/>
    <w:p w:rsidR="00F619D1" w:rsidRDefault="00752CBF">
      <w:r>
        <w:t>A. Comunicación</w:t>
      </w:r>
    </w:p>
    <w:p w:rsidR="00F619D1" w:rsidRDefault="00752CBF">
      <w:r>
        <w:t>Estrategias de comprensión y producción de textos orales, escritos y multimodales de diferentes ámbitos (personal, profesional, escolar y social), con atención conjunta a los siguientes aspectos:</w:t>
      </w:r>
    </w:p>
    <w:p w:rsidR="00F619D1" w:rsidRDefault="00752CBF">
      <w:r>
        <w:t>1. Contexto:</w:t>
      </w:r>
    </w:p>
    <w:p w:rsidR="00F619D1" w:rsidRDefault="00752CBF">
      <w:pPr>
        <w:numPr>
          <w:ilvl w:val="0"/>
          <w:numId w:val="3"/>
        </w:numPr>
      </w:pPr>
      <w:r>
        <w:t>Componentes del hecho comunicativo: grado de formalidad de la situación; su carácter público o privado; la distancia social entre los interlocutores; propósitos comunicativos e interpretación de intenciones; canal de comunicación y elementos no verbales de la comunicación.</w:t>
      </w:r>
    </w:p>
    <w:p w:rsidR="00F619D1" w:rsidRDefault="00752CBF">
      <w:pPr>
        <w:numPr>
          <w:ilvl w:val="0"/>
          <w:numId w:val="3"/>
        </w:numPr>
      </w:pPr>
      <w:r>
        <w:t>Los registros y los niveles de la lengua.</w:t>
      </w:r>
    </w:p>
    <w:p w:rsidR="00F619D1" w:rsidRDefault="00752CBF">
      <w:r>
        <w:t>2. Los géneros discursivos.</w:t>
      </w:r>
    </w:p>
    <w:p w:rsidR="00F619D1" w:rsidRDefault="00752CBF">
      <w:pPr>
        <w:numPr>
          <w:ilvl w:val="0"/>
          <w:numId w:val="4"/>
        </w:numPr>
      </w:pPr>
      <w:r>
        <w:t>Lectura e interpretación de secuencias textuales básicas, con especial atención a las expositivas y argumentativas.</w:t>
      </w:r>
    </w:p>
    <w:p w:rsidR="00F619D1" w:rsidRDefault="00752CBF">
      <w:pPr>
        <w:numPr>
          <w:ilvl w:val="0"/>
          <w:numId w:val="4"/>
        </w:numPr>
      </w:pPr>
      <w:r>
        <w:t>Géneros discursivos propios del ámbito profesional: el curriculum vitae, la carta de motivación y la entrevista de trabajo.</w:t>
      </w:r>
    </w:p>
    <w:p w:rsidR="00F619D1" w:rsidRDefault="00752CBF">
      <w:pPr>
        <w:numPr>
          <w:ilvl w:val="0"/>
          <w:numId w:val="4"/>
        </w:numPr>
      </w:pPr>
      <w:r>
        <w:lastRenderedPageBreak/>
        <w:t>Géneros discursivos propios del ámbito social. Los textos periodísticos.</w:t>
      </w:r>
    </w:p>
    <w:p w:rsidR="00F619D1" w:rsidRDefault="00752CBF">
      <w:r>
        <w:t>3. Procesos comunicativos: hablar, escuchar, leer, escribir</w:t>
      </w:r>
    </w:p>
    <w:p w:rsidR="00F619D1" w:rsidRDefault="00752CBF">
      <w:r>
        <w:t>3.1. Hablar y escuchar.</w:t>
      </w:r>
    </w:p>
    <w:p w:rsidR="00F619D1" w:rsidRDefault="00752CBF">
      <w:pPr>
        <w:numPr>
          <w:ilvl w:val="0"/>
          <w:numId w:val="5"/>
        </w:numPr>
      </w:pPr>
      <w:r>
        <w:t>La deliberación oral argumentada.</w:t>
      </w:r>
    </w:p>
    <w:p w:rsidR="00F619D1" w:rsidRDefault="00752CBF">
      <w:pPr>
        <w:numPr>
          <w:ilvl w:val="0"/>
          <w:numId w:val="5"/>
        </w:numPr>
      </w:pPr>
      <w:r>
        <w:t>Estrategias discursivas y dialógicas para la expresión de ideas, la confrontación y el consenso.</w:t>
      </w:r>
    </w:p>
    <w:p w:rsidR="00F619D1" w:rsidRDefault="00752CBF">
      <w:r>
        <w:t>3.2. Leer y escribir.</w:t>
      </w:r>
    </w:p>
    <w:p w:rsidR="00F619D1" w:rsidRDefault="00752CBF">
      <w:pPr>
        <w:numPr>
          <w:ilvl w:val="0"/>
          <w:numId w:val="6"/>
        </w:numPr>
      </w:pPr>
      <w:r>
        <w:t>Comprensión lectora:</w:t>
      </w:r>
    </w:p>
    <w:p w:rsidR="00F619D1" w:rsidRDefault="00752CBF">
      <w:r>
        <w:t>Lectura de textos en relación con el ámbito personal, académico, social y profesional, identificando el sentido global del texto y la intención del emisor y atendiendo a la relación entre sus partes.</w:t>
      </w:r>
    </w:p>
    <w:p w:rsidR="00F619D1" w:rsidRDefault="00752CBF">
      <w:pPr>
        <w:numPr>
          <w:ilvl w:val="0"/>
          <w:numId w:val="6"/>
        </w:numPr>
      </w:pPr>
      <w:r>
        <w:t>Detección de usos discriminatorios del lenguaje verbal e icónico.</w:t>
      </w:r>
    </w:p>
    <w:p w:rsidR="00F619D1" w:rsidRDefault="00752CBF">
      <w:pPr>
        <w:numPr>
          <w:ilvl w:val="0"/>
          <w:numId w:val="6"/>
        </w:numPr>
      </w:pPr>
      <w:r>
        <w:t xml:space="preserve"> Técnicas </w:t>
      </w:r>
      <w:r w:rsidR="00376096">
        <w:t>de trabajo y producción escrita.</w:t>
      </w:r>
    </w:p>
    <w:p w:rsidR="00F619D1" w:rsidRDefault="00752CBF">
      <w:pPr>
        <w:numPr>
          <w:ilvl w:val="0"/>
          <w:numId w:val="6"/>
        </w:numPr>
      </w:pPr>
      <w:r>
        <w:t>Planificación, redacción, revisión y edición de textos en diferentes soportes.</w:t>
      </w:r>
    </w:p>
    <w:p w:rsidR="00F619D1" w:rsidRDefault="00752CBF">
      <w:pPr>
        <w:numPr>
          <w:ilvl w:val="0"/>
          <w:numId w:val="6"/>
        </w:numPr>
      </w:pPr>
      <w:r>
        <w:t>Uso de léxico relativo al ámbito geográfico, histórico y artístico</w:t>
      </w:r>
    </w:p>
    <w:p w:rsidR="00F619D1" w:rsidRDefault="00752CBF">
      <w:pPr>
        <w:numPr>
          <w:ilvl w:val="0"/>
          <w:numId w:val="6"/>
        </w:numPr>
      </w:pPr>
      <w:r>
        <w:t>Usos de la escritura para la organización de la información: resúmenes, organigramas, y toma de notas guiada, en soporte papel o digital, con corrección gramatical y ortográfica y propiedad léxica.</w:t>
      </w:r>
    </w:p>
    <w:p w:rsidR="00F619D1" w:rsidRDefault="00752CBF">
      <w:r>
        <w:t>Tiempo histórico: líneas de tiempo, simultaneidad, diacronía y sincronía.</w:t>
      </w:r>
    </w:p>
    <w:p w:rsidR="00F619D1" w:rsidRDefault="00752CBF">
      <w:pPr>
        <w:numPr>
          <w:ilvl w:val="0"/>
          <w:numId w:val="6"/>
        </w:numPr>
      </w:pPr>
      <w:r>
        <w:t>Comentario guiado de fuentes cartográficas, gráficas, textuales e iconográficas.</w:t>
      </w:r>
    </w:p>
    <w:p w:rsidR="00F619D1" w:rsidRDefault="00752CBF">
      <w:pPr>
        <w:numPr>
          <w:ilvl w:val="0"/>
          <w:numId w:val="6"/>
        </w:numPr>
      </w:pPr>
      <w:r>
        <w:t>Alfabetización mediática e informacional:</w:t>
      </w:r>
    </w:p>
    <w:p w:rsidR="00F619D1" w:rsidRDefault="00752CBF">
      <w:pPr>
        <w:numPr>
          <w:ilvl w:val="0"/>
          <w:numId w:val="6"/>
        </w:numPr>
      </w:pPr>
      <w:r>
        <w:t>Técnicas de presentación de la información en formatos multimedia: comunicación de manera creativa y respetuosa con la propiedad intelectual. Etiqueta digital.</w:t>
      </w:r>
    </w:p>
    <w:p w:rsidR="00F619D1" w:rsidRDefault="00752CBF">
      <w:pPr>
        <w:numPr>
          <w:ilvl w:val="0"/>
          <w:numId w:val="6"/>
        </w:numPr>
      </w:pPr>
      <w:r>
        <w:t>Redes sociales y medios de comunicación. Riesgos de desinformación, manipulación y vulneración de la privacidad en la red.</w:t>
      </w:r>
    </w:p>
    <w:p w:rsidR="00F619D1" w:rsidRDefault="00752CBF">
      <w:r>
        <w:t>4. Reconocimiento y uso discursivo de los elementos lingüísticos. Principales conectores textuales.</w:t>
      </w:r>
    </w:p>
    <w:p w:rsidR="00F619D1" w:rsidRDefault="00752CBF">
      <w:pPr>
        <w:numPr>
          <w:ilvl w:val="0"/>
          <w:numId w:val="7"/>
        </w:numPr>
      </w:pPr>
      <w:r>
        <w:t>Aplicación progresivamente autónoma de la corrección lingüística textual oral y escrita y de la revisión ortográfica y gramatical de los textos propios.</w:t>
      </w:r>
    </w:p>
    <w:p w:rsidR="00F619D1" w:rsidRDefault="00752CBF">
      <w:pPr>
        <w:numPr>
          <w:ilvl w:val="0"/>
          <w:numId w:val="7"/>
        </w:numPr>
      </w:pPr>
      <w:r>
        <w:t>Uso de diccionarios, manuales de consulta y correctores ortográficos en soporte papel y digital.</w:t>
      </w:r>
    </w:p>
    <w:p w:rsidR="00F619D1" w:rsidRDefault="00752CBF">
      <w:r>
        <w:t>B. Educación literaria</w:t>
      </w:r>
    </w:p>
    <w:p w:rsidR="00F619D1" w:rsidRDefault="00752CBF">
      <w:r>
        <w:t>1. Lectura autónoma.</w:t>
      </w:r>
    </w:p>
    <w:p w:rsidR="00F619D1" w:rsidRDefault="00752CBF">
      <w:pPr>
        <w:numPr>
          <w:ilvl w:val="0"/>
          <w:numId w:val="8"/>
        </w:numPr>
      </w:pPr>
      <w:r>
        <w:t xml:space="preserve">Implicación en la lectura libre de obras variadas de la literatura española y universal y de la literatura juvenil, a partir de la utilización autónoma de la biblioteca escolar y </w:t>
      </w:r>
      <w:r>
        <w:lastRenderedPageBreak/>
        <w:t>pública disponible, para el desarrollo de estrategias de toma de conciencia y verbalización de los propios gustos e identidad lectora.</w:t>
      </w:r>
    </w:p>
    <w:p w:rsidR="00F619D1" w:rsidRDefault="00752CBF">
      <w:pPr>
        <w:numPr>
          <w:ilvl w:val="0"/>
          <w:numId w:val="8"/>
        </w:numPr>
      </w:pPr>
      <w:r>
        <w:t>Expresión, a través de modelos, de la experiencia lectora y de diferentes formas de apropiación y recreación de los textos leídos.</w:t>
      </w:r>
    </w:p>
    <w:p w:rsidR="00F619D1" w:rsidRDefault="00752CBF">
      <w:r>
        <w:t>2. Lectura guiada.</w:t>
      </w:r>
    </w:p>
    <w:p w:rsidR="00F619D1" w:rsidRDefault="00752CBF">
      <w:pPr>
        <w:numPr>
          <w:ilvl w:val="0"/>
          <w:numId w:val="9"/>
        </w:numPr>
      </w:pPr>
      <w:r>
        <w:t>Lectura guiada de obras y fragmentos relevantes de la literatura del patrimonio literario nacional y universal del siglo XVIII hasta la actualidad, y de la literatura actual, inscritos en itinerarios temáticos o de género, que atraviesan épocas, contextos culturales y movimientos artísticos.</w:t>
      </w:r>
    </w:p>
    <w:p w:rsidR="00F619D1" w:rsidRDefault="00752CBF">
      <w:r>
        <w:t>Estrategias para interpretar las obras y fragmentos literarios leídos de la literatura española del siglo XVIII hasta la actualidad, a partir de la integración de la información sociohistórica y de los diferentes aspectos analizados, atendiendo a los valores culturales, éticos y estéticos presentes en los textos.</w:t>
      </w:r>
    </w:p>
    <w:p w:rsidR="00F619D1" w:rsidRDefault="00F619D1"/>
    <w:p w:rsidR="00F619D1" w:rsidRDefault="00752CBF">
      <w:pPr>
        <w:numPr>
          <w:ilvl w:val="0"/>
          <w:numId w:val="9"/>
        </w:numPr>
      </w:pPr>
      <w:r>
        <w:t>Lectura expresiva, dramatización y recitación de los textos, atendiendo a los procesos de comprensión, apropiación y oralización implicados.</w:t>
      </w:r>
    </w:p>
    <w:p w:rsidR="00F619D1" w:rsidRDefault="00752CBF">
      <w:r>
        <w:t>C. Reflexión sobre la lengua</w:t>
      </w:r>
    </w:p>
    <w:p w:rsidR="00F619D1" w:rsidRDefault="00752CBF">
      <w:pPr>
        <w:numPr>
          <w:ilvl w:val="0"/>
          <w:numId w:val="9"/>
        </w:numPr>
      </w:pPr>
      <w:r>
        <w:t>Distinción entre la forma (categoría gramatical) y la función de las palabras (funciones sintácticas). Uso de la terminología sintáctica necesaria.</w:t>
      </w:r>
    </w:p>
    <w:p w:rsidR="00F619D1" w:rsidRDefault="00752CBF">
      <w:r>
        <w:t>Distinción e identificación de oraciones simples y compuestas</w:t>
      </w:r>
    </w:p>
    <w:p w:rsidR="00F619D1" w:rsidRDefault="00752CBF">
      <w:pPr>
        <w:numPr>
          <w:ilvl w:val="0"/>
          <w:numId w:val="9"/>
        </w:numPr>
      </w:pPr>
      <w:r>
        <w:t>Las conjunciones como elementos relacionantes.</w:t>
      </w:r>
    </w:p>
    <w:p w:rsidR="00F619D1" w:rsidRDefault="00752CBF">
      <w:pPr>
        <w:numPr>
          <w:ilvl w:val="0"/>
          <w:numId w:val="9"/>
        </w:numPr>
      </w:pPr>
      <w:r>
        <w:t>Procedimientos morfológicos de adquisición y formación de palabras: prefijación y sufijación.</w:t>
      </w:r>
    </w:p>
    <w:p w:rsidR="00F619D1" w:rsidRPr="00376096" w:rsidRDefault="00752CBF" w:rsidP="00376096">
      <w:pPr>
        <w:numPr>
          <w:ilvl w:val="0"/>
          <w:numId w:val="9"/>
        </w:numPr>
      </w:pPr>
      <w:r>
        <w:t>Valores denotativos y connotativos de las palabras en función del contexto y del propósito comunicativo.</w:t>
      </w:r>
    </w:p>
    <w:p w:rsidR="00F619D1" w:rsidRDefault="00752CBF">
      <w:pPr>
        <w:spacing w:before="100" w:beforeAutospacing="1" w:after="100" w:afterAutospacing="1" w:line="256" w:lineRule="auto"/>
        <w:jc w:val="both"/>
        <w:rPr>
          <w:rFonts w:ascii="Calibri" w:eastAsia="Times New Roman" w:hAnsi="Calibri" w:cs="Times New Roman"/>
          <w:lang w:eastAsia="es-ES"/>
        </w:rPr>
      </w:pPr>
      <w:r>
        <w:rPr>
          <w:rFonts w:ascii="Calibri" w:eastAsia="Times New Roman" w:hAnsi="Calibri" w:cs="Times New Roman"/>
          <w:lang w:eastAsia="es-ES"/>
        </w:rPr>
        <w:t>Retos geográficos del mundo actual</w:t>
      </w:r>
    </w:p>
    <w:p w:rsidR="00F619D1" w:rsidRDefault="00752CBF">
      <w:pPr>
        <w:numPr>
          <w:ilvl w:val="0"/>
          <w:numId w:val="12"/>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El Estado: funciones e instituciones.</w:t>
      </w:r>
    </w:p>
    <w:p w:rsidR="00F619D1" w:rsidRDefault="00752CBF">
      <w:pPr>
        <w:numPr>
          <w:ilvl w:val="0"/>
          <w:numId w:val="12"/>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La organización política y territorial de España.</w:t>
      </w:r>
    </w:p>
    <w:p w:rsidR="00F619D1" w:rsidRDefault="00752CBF">
      <w:pPr>
        <w:numPr>
          <w:ilvl w:val="0"/>
          <w:numId w:val="12"/>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Las instituciones internacionales.</w:t>
      </w:r>
    </w:p>
    <w:p w:rsidR="00F619D1" w:rsidRDefault="00752CBF">
      <w:pPr>
        <w:numPr>
          <w:ilvl w:val="0"/>
          <w:numId w:val="12"/>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El nuevo orden mundial.</w:t>
      </w:r>
    </w:p>
    <w:p w:rsidR="00F619D1" w:rsidRDefault="00752CBF">
      <w:pPr>
        <w:numPr>
          <w:ilvl w:val="0"/>
          <w:numId w:val="12"/>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La globalización.</w:t>
      </w:r>
    </w:p>
    <w:p w:rsidR="00F619D1" w:rsidRDefault="00752CBF">
      <w:pPr>
        <w:numPr>
          <w:ilvl w:val="0"/>
          <w:numId w:val="12"/>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La sociedad de la información.</w:t>
      </w:r>
    </w:p>
    <w:p w:rsidR="00F619D1" w:rsidRDefault="00752CBF">
      <w:pPr>
        <w:numPr>
          <w:ilvl w:val="0"/>
          <w:numId w:val="12"/>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Igualdad y diversidad de género</w:t>
      </w:r>
    </w:p>
    <w:p w:rsidR="00F619D1" w:rsidRDefault="00752CBF">
      <w:pPr>
        <w:numPr>
          <w:ilvl w:val="0"/>
          <w:numId w:val="12"/>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Los Objetivos de Desarrollo Sostenible. Los avances tecnológicos.</w:t>
      </w:r>
    </w:p>
    <w:p w:rsidR="00F619D1" w:rsidRDefault="00752CBF">
      <w:pPr>
        <w:spacing w:before="100" w:beforeAutospacing="1" w:after="100" w:afterAutospacing="1" w:line="256" w:lineRule="auto"/>
        <w:jc w:val="both"/>
        <w:rPr>
          <w:rFonts w:ascii="Calibri" w:eastAsia="Times New Roman" w:hAnsi="Calibri" w:cs="Times New Roman"/>
          <w:lang w:eastAsia="es-ES"/>
        </w:rPr>
      </w:pPr>
      <w:r>
        <w:rPr>
          <w:rFonts w:ascii="Calibri" w:eastAsia="Times New Roman" w:hAnsi="Calibri" w:cs="Times New Roman"/>
          <w:lang w:eastAsia="es-ES"/>
        </w:rPr>
        <w:t>Compromiso cívico y local</w:t>
      </w:r>
    </w:p>
    <w:p w:rsidR="00F619D1" w:rsidRDefault="00752CBF">
      <w:pPr>
        <w:numPr>
          <w:ilvl w:val="0"/>
          <w:numId w:val="13"/>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Dignidad humana y derechos universales. Declaración Universal de los Derechos Humanos.</w:t>
      </w:r>
    </w:p>
    <w:p w:rsidR="00F619D1" w:rsidRDefault="00752CBF">
      <w:pPr>
        <w:numPr>
          <w:ilvl w:val="0"/>
          <w:numId w:val="13"/>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 xml:space="preserve"> Ciudadanía ética digital. Nuevos comportamientos en la sociedad de la información.</w:t>
      </w:r>
    </w:p>
    <w:p w:rsidR="00F619D1" w:rsidRDefault="00752CBF">
      <w:pPr>
        <w:numPr>
          <w:ilvl w:val="0"/>
          <w:numId w:val="13"/>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lastRenderedPageBreak/>
        <w:t>Compromiso cívico y participación ciudadana. Mediación y gestión pacífica de conflictos y apoyo a las víctimas de la violencia y del terrorismo.</w:t>
      </w:r>
    </w:p>
    <w:p w:rsidR="00F619D1" w:rsidRDefault="00752CBF">
      <w:pPr>
        <w:numPr>
          <w:ilvl w:val="0"/>
          <w:numId w:val="13"/>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Solidaridad, cohesión social y cooperación para el desarrollo</w:t>
      </w:r>
    </w:p>
    <w:p w:rsidR="00F619D1" w:rsidRDefault="00752CBF">
      <w:pPr>
        <w:numPr>
          <w:ilvl w:val="0"/>
          <w:numId w:val="13"/>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La igualdad real de mujeres y hombres. La discriminación por motivo de diversidad sexual y de género. La conquista de derechos en las sociedades democráticas contemporáneas.</w:t>
      </w:r>
    </w:p>
    <w:p w:rsidR="00F619D1" w:rsidRDefault="00752CBF">
      <w:pPr>
        <w:numPr>
          <w:ilvl w:val="0"/>
          <w:numId w:val="13"/>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Empleo y trabajo en la sociedad de la información, aprendizaje permanente y a lo largo de toda la vida.</w:t>
      </w:r>
    </w:p>
    <w:p w:rsidR="00F619D1" w:rsidRDefault="00752CBF">
      <w:pPr>
        <w:numPr>
          <w:ilvl w:val="0"/>
          <w:numId w:val="13"/>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Los valores del europeísmo. Fórmulas de participación en programas educativos europeos.</w:t>
      </w:r>
    </w:p>
    <w:p w:rsidR="00F619D1" w:rsidRDefault="00752CBF">
      <w:pPr>
        <w:numPr>
          <w:ilvl w:val="0"/>
          <w:numId w:val="13"/>
        </w:numPr>
        <w:spacing w:before="100" w:beforeAutospacing="1" w:after="100" w:afterAutospacing="1" w:line="256" w:lineRule="auto"/>
        <w:contextualSpacing/>
        <w:jc w:val="both"/>
        <w:rPr>
          <w:rFonts w:ascii="Calibri" w:eastAsia="Times New Roman" w:hAnsi="Calibri" w:cs="Times New Roman"/>
          <w:lang w:eastAsia="es-ES"/>
        </w:rPr>
      </w:pPr>
      <w:r>
        <w:rPr>
          <w:rFonts w:ascii="Calibri" w:eastAsia="Times New Roman" w:hAnsi="Calibri" w:cs="Times New Roman"/>
          <w:lang w:eastAsia="es-ES"/>
        </w:rPr>
        <w:t>Iniciativas para mostrar respeto y sensibilidad por la conservación del patrimonio material e inmaterial. Importancia y cuidado del espacio público.</w:t>
      </w:r>
    </w:p>
    <w:p w:rsidR="00376096" w:rsidRDefault="00376096">
      <w:pPr>
        <w:ind w:left="720"/>
      </w:pPr>
    </w:p>
    <w:p w:rsidR="00376096" w:rsidRDefault="00376096">
      <w:pPr>
        <w:ind w:left="720"/>
      </w:pPr>
      <w:r>
        <w:t>CRITERIOS DE CALIFICACIÓN</w:t>
      </w:r>
    </w:p>
    <w:p w:rsidR="00376096" w:rsidRDefault="00376096" w:rsidP="0037609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rPr>
        <w:t xml:space="preserve">Para calcular la calificación de cada alumno en las distintas unidades didácticas se tendrá en cuenta el grado de adquisición de las competencias clave descritas en el punto 5 de esta programación. En cada unidad didáctica se desarrollarán distintas actividades (explicadas más abajo en este apartado) que servirán de instrumento para evaluar estas competencias clave. El cálculo de la calificación se hará en base a los siguientes porcentajes:  </w:t>
      </w:r>
    </w:p>
    <w:p w:rsidR="00376096" w:rsidRDefault="00376096" w:rsidP="00376096">
      <w:pPr>
        <w:numPr>
          <w:ilvl w:val="0"/>
          <w:numId w:val="23"/>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1417"/>
        <w:jc w:val="both"/>
        <w:rPr>
          <w:rFonts w:ascii="Tahoma" w:eastAsia="Tahoma" w:hAnsi="Tahoma" w:cs="Tahoma"/>
        </w:rPr>
      </w:pPr>
      <w:r>
        <w:rPr>
          <w:rFonts w:ascii="Tahoma" w:eastAsia="Tahoma" w:hAnsi="Tahoma" w:cs="Tahoma"/>
        </w:rPr>
        <w:t xml:space="preserve">El </w:t>
      </w:r>
      <w:r>
        <w:rPr>
          <w:rFonts w:ascii="Tahoma" w:eastAsia="Tahoma" w:hAnsi="Tahoma" w:cs="Tahoma"/>
          <w:b/>
        </w:rPr>
        <w:t>40% de la calificación</w:t>
      </w:r>
      <w:r>
        <w:rPr>
          <w:rFonts w:ascii="Tahoma" w:eastAsia="Tahoma" w:hAnsi="Tahoma" w:cs="Tahoma"/>
        </w:rPr>
        <w:t xml:space="preserve"> de la unidad didáctica dependerá de la </w:t>
      </w:r>
      <w:r>
        <w:rPr>
          <w:rFonts w:ascii="Tahoma" w:eastAsia="Tahoma" w:hAnsi="Tahoma" w:cs="Tahoma"/>
          <w:b/>
        </w:rPr>
        <w:t xml:space="preserve">competencia en comunicación lingüística. </w:t>
      </w:r>
    </w:p>
    <w:p w:rsidR="00376096" w:rsidRDefault="00376096" w:rsidP="00376096">
      <w:pPr>
        <w:numPr>
          <w:ilvl w:val="0"/>
          <w:numId w:val="23"/>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1417"/>
        <w:jc w:val="both"/>
        <w:rPr>
          <w:rFonts w:ascii="Tahoma" w:eastAsia="Tahoma" w:hAnsi="Tahoma" w:cs="Tahoma"/>
        </w:rPr>
      </w:pPr>
      <w:r>
        <w:rPr>
          <w:rFonts w:ascii="Tahoma" w:eastAsia="Tahoma" w:hAnsi="Tahoma" w:cs="Tahoma"/>
        </w:rPr>
        <w:t xml:space="preserve">El </w:t>
      </w:r>
      <w:r>
        <w:rPr>
          <w:rFonts w:ascii="Tahoma" w:eastAsia="Tahoma" w:hAnsi="Tahoma" w:cs="Tahoma"/>
          <w:b/>
          <w:bCs/>
        </w:rPr>
        <w:t>30% de la calificación</w:t>
      </w:r>
      <w:r>
        <w:rPr>
          <w:rFonts w:ascii="Tahoma" w:eastAsia="Tahoma" w:hAnsi="Tahoma" w:cs="Tahoma"/>
        </w:rPr>
        <w:t xml:space="preserve"> de la unidad didáctica dependerá de la </w:t>
      </w:r>
      <w:r>
        <w:rPr>
          <w:rFonts w:ascii="Tahoma" w:eastAsia="Tahoma" w:hAnsi="Tahoma" w:cs="Tahoma"/>
          <w:b/>
          <w:bCs/>
        </w:rPr>
        <w:t>competencia ciudadana.</w:t>
      </w:r>
    </w:p>
    <w:p w:rsidR="00376096" w:rsidRDefault="00376096" w:rsidP="00376096">
      <w:pPr>
        <w:numPr>
          <w:ilvl w:val="0"/>
          <w:numId w:val="23"/>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1417"/>
        <w:jc w:val="both"/>
        <w:rPr>
          <w:rFonts w:ascii="Tahoma" w:eastAsia="Tahoma" w:hAnsi="Tahoma" w:cs="Tahoma"/>
        </w:rPr>
      </w:pPr>
      <w:r>
        <w:rPr>
          <w:rFonts w:ascii="Tahoma" w:eastAsia="Tahoma" w:hAnsi="Tahoma" w:cs="Tahoma"/>
        </w:rPr>
        <w:t xml:space="preserve">El </w:t>
      </w:r>
      <w:r>
        <w:rPr>
          <w:rFonts w:ascii="Tahoma" w:eastAsia="Tahoma" w:hAnsi="Tahoma" w:cs="Tahoma"/>
          <w:b/>
        </w:rPr>
        <w:t>30% restante</w:t>
      </w:r>
      <w:r>
        <w:rPr>
          <w:rFonts w:ascii="Tahoma" w:eastAsia="Tahoma" w:hAnsi="Tahoma" w:cs="Tahoma"/>
        </w:rPr>
        <w:t xml:space="preserve"> se distribuirá en </w:t>
      </w:r>
      <w:r>
        <w:rPr>
          <w:rFonts w:ascii="Tahoma" w:eastAsia="Tahoma" w:hAnsi="Tahoma" w:cs="Tahoma"/>
          <w:b/>
        </w:rPr>
        <w:t>otras competencias clave</w:t>
      </w:r>
      <w:r>
        <w:rPr>
          <w:rFonts w:ascii="Tahoma" w:eastAsia="Tahoma" w:hAnsi="Tahoma" w:cs="Tahoma"/>
        </w:rPr>
        <w:t xml:space="preserve">. En cada unidad didáctica, en función de las actividades llevadas a cabo y las producciones elaboradas por los alumnos, el profesor distribuirá ese 30% entre las competencias STEM, plurilingüe, digital, personal, social y de aprender a aprender, emprendedora y de conciencia y expresiones culturales (aunque no necesariamente aparecerán todas calificadas en las distintas unidades didácticas). </w:t>
      </w:r>
    </w:p>
    <w:p w:rsidR="00376096" w:rsidRDefault="00376096" w:rsidP="00376096">
      <w:p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jc w:val="both"/>
        <w:rPr>
          <w:rFonts w:ascii="Tahoma" w:eastAsia="Tahoma" w:hAnsi="Tahoma" w:cs="Tahoma"/>
        </w:rPr>
      </w:pPr>
      <w:r>
        <w:rPr>
          <w:rFonts w:ascii="Tahoma" w:eastAsia="Tahoma" w:hAnsi="Tahoma" w:cs="Tahoma"/>
        </w:rPr>
        <w:t>Con respecto a la penalización ortográfica, esta será contabilizada con -0’25 puntos por cada grafía y 0’10 puntos menos por cada tilde en las pruebas de evaluación específica o cuestionario. También se le gratificará con 0’5 puntos más en esas pruebas si no comete ningún error ortográfico.</w:t>
      </w:r>
    </w:p>
    <w:p w:rsidR="00376096" w:rsidRDefault="00376096" w:rsidP="0037609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rPr>
        <w:t xml:space="preserve">Se intentará </w:t>
      </w:r>
      <w:r>
        <w:rPr>
          <w:rFonts w:ascii="Tahoma" w:eastAsia="Tahoma" w:hAnsi="Tahoma" w:cs="Tahoma"/>
          <w:b/>
        </w:rPr>
        <w:t>diversificar los instrumentos de evaluación</w:t>
      </w:r>
      <w:r>
        <w:rPr>
          <w:rFonts w:ascii="Tahoma" w:eastAsia="Tahoma" w:hAnsi="Tahoma" w:cs="Tahoma"/>
        </w:rPr>
        <w:t xml:space="preserve"> y trabajar el mayor número de competencias clave posible. Entre estas herramientas de evaluación se utilizarán entre otros:</w:t>
      </w:r>
    </w:p>
    <w:p w:rsidR="00376096" w:rsidRDefault="00376096" w:rsidP="00376096">
      <w:pPr>
        <w:numPr>
          <w:ilvl w:val="1"/>
          <w:numId w:val="22"/>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Rúbricas</w:t>
      </w:r>
      <w:r>
        <w:rPr>
          <w:rFonts w:ascii="Tahoma" w:eastAsia="Tahoma" w:hAnsi="Tahoma" w:cs="Tahoma"/>
        </w:rPr>
        <w:t xml:space="preserve">: utilizadas tanto por el profesor, como por parte de los alumnos para autoevaluarse y coevaluar a sus compañeros. </w:t>
      </w:r>
    </w:p>
    <w:p w:rsidR="00376096" w:rsidRDefault="00376096" w:rsidP="00376096">
      <w:pPr>
        <w:numPr>
          <w:ilvl w:val="1"/>
          <w:numId w:val="22"/>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lastRenderedPageBreak/>
        <w:t xml:space="preserve">Diarios de aprendizaje: </w:t>
      </w:r>
      <w:r>
        <w:rPr>
          <w:rFonts w:ascii="Tahoma" w:eastAsia="Tahoma" w:hAnsi="Tahoma" w:cs="Tahoma"/>
        </w:rPr>
        <w:t xml:space="preserve">será individuales y se utilizarán como instrumento de reflexión sobre el propio aprendizaje por parte del alumno. </w:t>
      </w:r>
    </w:p>
    <w:p w:rsidR="00376096" w:rsidRDefault="00376096" w:rsidP="00376096">
      <w:pPr>
        <w:numPr>
          <w:ilvl w:val="1"/>
          <w:numId w:val="22"/>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Portfolios: </w:t>
      </w:r>
      <w:r>
        <w:rPr>
          <w:rFonts w:ascii="Tahoma" w:eastAsia="Tahoma" w:hAnsi="Tahoma" w:cs="Tahoma"/>
        </w:rPr>
        <w:t xml:space="preserve">podrán ser individuales, o más comúnmente, los alumnos contribuirán individualmente a la realización de un portfolio de actividad cooperativa en la que se recojan los papeles de cada miembro del grupo, los acuerdos, las responsabilidades, la gestión del tiempo, el compromiso de cada miembro del equipo y el producto final. </w:t>
      </w:r>
    </w:p>
    <w:p w:rsidR="00376096" w:rsidRDefault="00376096" w:rsidP="00376096">
      <w:pPr>
        <w:numPr>
          <w:ilvl w:val="1"/>
          <w:numId w:val="22"/>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Cuadernos de clase: </w:t>
      </w:r>
      <w:r>
        <w:rPr>
          <w:rFonts w:ascii="Tahoma" w:eastAsia="Tahoma" w:hAnsi="Tahoma" w:cs="Tahoma"/>
        </w:rPr>
        <w:t>donde se reflejarán los procedimientos y resultados de las actividades de aula.</w:t>
      </w:r>
    </w:p>
    <w:p w:rsidR="00376096" w:rsidRDefault="00376096" w:rsidP="00376096">
      <w:pPr>
        <w:numPr>
          <w:ilvl w:val="1"/>
          <w:numId w:val="22"/>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Cuestionarios de comprensión lectora o de mensaje en formato audiovisual: </w:t>
      </w:r>
      <w:r>
        <w:rPr>
          <w:rFonts w:ascii="Tahoma" w:eastAsia="Tahoma" w:hAnsi="Tahoma" w:cs="Tahoma"/>
        </w:rPr>
        <w:t xml:space="preserve">en donde se evalúe la comprensión de textos o vídeos. </w:t>
      </w:r>
    </w:p>
    <w:p w:rsidR="00376096" w:rsidRDefault="00376096" w:rsidP="00376096">
      <w:pPr>
        <w:numPr>
          <w:ilvl w:val="1"/>
          <w:numId w:val="22"/>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Presentaciones orales / debates:</w:t>
      </w:r>
      <w:r>
        <w:rPr>
          <w:rFonts w:ascii="Tahoma" w:eastAsia="Tahoma" w:hAnsi="Tahoma" w:cs="Tahoma"/>
        </w:rPr>
        <w:t xml:space="preserve"> en donde no solo se demuestre el conocimiento del tema, sino la capacidad de expresarse correctamente, atraer al que oye, ceñirse a los tiempos acordados, respetar el turno de palabra, etc.</w:t>
      </w:r>
    </w:p>
    <w:p w:rsidR="00376096" w:rsidRDefault="00376096" w:rsidP="00376096">
      <w:pPr>
        <w:numPr>
          <w:ilvl w:val="1"/>
          <w:numId w:val="22"/>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1417"/>
        <w:jc w:val="both"/>
        <w:rPr>
          <w:rFonts w:ascii="Tahoma" w:eastAsia="Tahoma" w:hAnsi="Tahoma" w:cs="Tahoma"/>
        </w:rPr>
      </w:pPr>
      <w:r>
        <w:rPr>
          <w:rFonts w:ascii="Tahoma" w:eastAsia="Tahoma" w:hAnsi="Tahoma" w:cs="Tahoma"/>
          <w:b/>
        </w:rPr>
        <w:t xml:space="preserve">Pruebas específicas o cuestionarios </w:t>
      </w:r>
      <w:r>
        <w:rPr>
          <w:rFonts w:ascii="Tahoma" w:eastAsia="Tahoma" w:hAnsi="Tahoma" w:cs="Tahoma"/>
          <w:bCs/>
        </w:rPr>
        <w:t>acerca de uno o varios elementos del temario.</w:t>
      </w:r>
      <w:bookmarkStart w:id="1" w:name="_heading=h.44sinio" w:colFirst="0" w:colLast="0"/>
      <w:bookmarkEnd w:id="1"/>
    </w:p>
    <w:p w:rsidR="00376096" w:rsidRDefault="00376096" w:rsidP="0037609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bookmarkStart w:id="2" w:name="_heading=h.gmfo4urf15uk" w:colFirst="0" w:colLast="0"/>
      <w:bookmarkEnd w:id="2"/>
    </w:p>
    <w:p w:rsidR="00376096" w:rsidRDefault="00376096" w:rsidP="0037609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bookmarkStart w:id="3" w:name="_heading=h.1g9pmrgf33o3" w:colFirst="0" w:colLast="0"/>
      <w:bookmarkEnd w:id="3"/>
      <w:r>
        <w:rPr>
          <w:rFonts w:ascii="Tahoma" w:eastAsia="Tahoma" w:hAnsi="Tahoma" w:cs="Tahoma"/>
        </w:rPr>
        <w:t>Todas las producciones del alumnado deberán ser presentadas durante la unidad didáctica a la que correspondan para poder ser calificadas. En casos excepcionales se podrán presentar antes de que finalice la evaluación trimestral y, en ningún caso, después del término del trimestre. Con respecto a la ortografía, esta será susceptible de ser calificada en las diferentes pruebas objetivas constituyan instrumento de evaluación del alumnado. Así, se detraerá 0’25 puntos de la calificación final de la prueba por cada falta de grafía, y 0’10 por cada tilde. Al mismo tiempo, se compensará al alumno con 0’5 puntos sobre la calificación de la prueba si no posee faltas ortográficas.</w:t>
      </w:r>
    </w:p>
    <w:p w:rsidR="00376096" w:rsidRDefault="00376096" w:rsidP="00376096">
      <w:pPr>
        <w:pStyle w:val="NormalWeb"/>
        <w:spacing w:before="120" w:beforeAutospacing="0" w:after="120" w:afterAutospacing="0"/>
        <w:ind w:left="708"/>
        <w:jc w:val="both"/>
        <w:rPr>
          <w:rFonts w:ascii="Tahoma" w:hAnsi="Tahoma" w:cs="Tahoma"/>
        </w:rPr>
      </w:pPr>
      <w:r>
        <w:rPr>
          <w:rFonts w:ascii="Tahoma" w:hAnsi="Tahoma" w:cs="Tahoma"/>
          <w:color w:val="000000"/>
        </w:rPr>
        <w:t xml:space="preserve">En las producciones del alumnado se penalizará la inclusión de contenidos no originales y no referenciados considerados plagios. Algunas de las medidas para favorecer el trabajo original son la revisión del porfolio, las pruebas adicionales (como, por ejemplo, un examen oral en caso de tarea) o el suspenso completo de la prueba o tarea si se comprueba de manera fehaciente. </w:t>
      </w:r>
    </w:p>
    <w:p w:rsidR="00376096" w:rsidRDefault="00376096" w:rsidP="0037609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rPr>
        <w:t xml:space="preserve">En ocasiones los alumnos deberán realizar tareas fuera del horario escolar, bien sea porque la duración o la naturaleza de la misma desaconseje su realización en el aula. En el Decreto 32/2009, de 19 de abril, por el que se establece el marco regulador de la convivencia en los centros docentes de la comunidad de Madrid, se recoge que la realización de los trabajos que los profesores manden realizar fuera de las horas de clase es obligatoria para los alumnos. Por lo tanto, es fundamental que el alumno realice las tareas encomendadas para cada trimestre porque no tendrán recuperación finalizado el mismo. Al finalizar </w:t>
      </w:r>
      <w:r>
        <w:rPr>
          <w:rFonts w:ascii="Tahoma" w:eastAsia="Tahoma" w:hAnsi="Tahoma" w:cs="Tahoma"/>
        </w:rPr>
        <w:lastRenderedPageBreak/>
        <w:t xml:space="preserve">cada uno de los trimestres, cada alumno tendrá una calificación de la misma sobre 10. </w:t>
      </w:r>
    </w:p>
    <w:p w:rsidR="00376096" w:rsidRDefault="00376096" w:rsidP="0037609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r>
        <w:rPr>
          <w:rFonts w:ascii="Tahoma" w:eastAsia="Tahoma" w:hAnsi="Tahoma" w:cs="Tahoma"/>
        </w:rPr>
        <w:t>La calificación final o global de la asignatura en junio será, con carácter general, aquella que se obtenga como resultado de la ponderación de las tres evaluaciones del curso, contando la primera evaluación un 20% de la calificación final, la segunda un 30% y la tercera, un 50%. Para superar la materia en junio, la calificación en la evaluación final ordinaria deberá ser igual o superior a 5.</w:t>
      </w:r>
    </w:p>
    <w:p w:rsidR="00376096" w:rsidRDefault="00376096" w:rsidP="0037609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rPr>
      </w:pPr>
    </w:p>
    <w:p w:rsidR="00376096" w:rsidRDefault="00376096" w:rsidP="00376096">
      <w:pPr>
        <w:spacing w:before="120" w:after="120"/>
        <w:jc w:val="both"/>
        <w:rPr>
          <w:rFonts w:ascii="Tahoma" w:hAnsi="Tahoma" w:cs="Tahoma"/>
        </w:rPr>
      </w:pPr>
    </w:p>
    <w:p w:rsidR="00376096" w:rsidRDefault="00376096" w:rsidP="00376096">
      <w:pPr>
        <w:pStyle w:val="Ttulo1"/>
        <w:spacing w:after="240"/>
        <w:ind w:firstLine="720"/>
        <w:rPr>
          <w:rFonts w:ascii="Tahoma" w:eastAsia="Tahoma" w:hAnsi="Tahoma" w:cs="Tahoma"/>
          <w:color w:val="0070C0"/>
          <w:sz w:val="22"/>
          <w:szCs w:val="22"/>
        </w:rPr>
      </w:pPr>
      <w:bookmarkStart w:id="4" w:name="_heading=h.8nz8cdeyvy0b" w:colFirst="0" w:colLast="0"/>
      <w:bookmarkEnd w:id="4"/>
      <w:r>
        <w:rPr>
          <w:rFonts w:ascii="Tahoma" w:hAnsi="Tahoma" w:cs="Tahoma"/>
          <w:sz w:val="22"/>
          <w:szCs w:val="22"/>
        </w:rPr>
        <w:br w:type="page"/>
      </w:r>
    </w:p>
    <w:p w:rsidR="00376096" w:rsidRPr="00376096" w:rsidRDefault="00376096" w:rsidP="00376096">
      <w:pPr>
        <w:pStyle w:val="Ttulo1"/>
        <w:spacing w:after="240"/>
        <w:ind w:left="1440"/>
        <w:rPr>
          <w:rFonts w:ascii="Tahoma" w:hAnsi="Tahoma" w:cs="Tahoma"/>
          <w:b/>
          <w:bCs/>
          <w:color w:val="000000" w:themeColor="text1"/>
          <w:sz w:val="32"/>
          <w:szCs w:val="32"/>
        </w:rPr>
      </w:pPr>
      <w:bookmarkStart w:id="5" w:name="_Toc149087340"/>
      <w:bookmarkStart w:id="6" w:name="_Toc149088397"/>
      <w:r w:rsidRPr="00376096">
        <w:rPr>
          <w:rFonts w:ascii="Tahoma" w:eastAsia="Tahoma" w:hAnsi="Tahoma" w:cs="Tahoma"/>
          <w:b/>
          <w:bCs/>
          <w:color w:val="000000" w:themeColor="text1"/>
          <w:sz w:val="32"/>
          <w:szCs w:val="32"/>
        </w:rPr>
        <w:lastRenderedPageBreak/>
        <w:t>Procedimiento de recuperación para alumnos con la materia pendiente</w:t>
      </w:r>
      <w:bookmarkEnd w:id="5"/>
      <w:bookmarkEnd w:id="6"/>
    </w:p>
    <w:p w:rsidR="00376096" w:rsidRDefault="00376096" w:rsidP="0037609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color w:val="FF0000"/>
        </w:rPr>
      </w:pPr>
      <w:r>
        <w:rPr>
          <w:rFonts w:ascii="Tahoma" w:eastAsia="Tahoma" w:hAnsi="Tahoma" w:cs="Tahoma"/>
        </w:rPr>
        <w:t xml:space="preserve">Los alumnos que hayan promocionado a 3º de la ESO mediante el programa de Diversificación pero que tengan las materias de Lengua Castellana y Literatura y Geografía e Historia suspensas tendrán la posibilidad de recuperar la materia de los cursos anteriores si superan las competencias y contenidos asociados al respectivo ámbito (Lingüístico en el caso de Lengua y Social en el caso de Geografía e Historia) durante el primer y segundo trimestre. En caso de que no sea así, el alumno tendrá derecho a realizar pruebas escritas y trabajos de recuperación y refuerzo en el tercer trimestre, realizándose una prueba de recuperación en el mes de mayo. </w:t>
      </w:r>
    </w:p>
    <w:p w:rsidR="00376096" w:rsidRDefault="00376096" w:rsidP="00376096">
      <w:pPr>
        <w:spacing w:line="276" w:lineRule="auto"/>
        <w:jc w:val="both"/>
        <w:rPr>
          <w:u w:val="single"/>
        </w:rPr>
      </w:pPr>
      <w:bookmarkStart w:id="7" w:name="_heading=h.7sxlk2covqlg" w:colFirst="0" w:colLast="0"/>
      <w:bookmarkEnd w:id="7"/>
    </w:p>
    <w:p w:rsidR="00376096" w:rsidRDefault="00376096" w:rsidP="003760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jc w:val="both"/>
        <w:rPr>
          <w:color w:val="003300"/>
        </w:rPr>
      </w:pPr>
    </w:p>
    <w:p w:rsidR="00376096" w:rsidRDefault="00376096">
      <w:pPr>
        <w:ind w:left="720"/>
      </w:pPr>
    </w:p>
    <w:p w:rsidR="00376096" w:rsidRDefault="00376096">
      <w:pPr>
        <w:ind w:left="720"/>
      </w:pPr>
    </w:p>
    <w:p w:rsidR="00F619D1" w:rsidRDefault="00F619D1" w:rsidP="00376096">
      <w:pPr>
        <w:pStyle w:val="Prrafodelista"/>
        <w:ind w:left="1440"/>
      </w:pPr>
    </w:p>
    <w:sectPr w:rsidR="00F619D1" w:rsidSect="00F619D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964" w:rsidRDefault="00651964">
      <w:pPr>
        <w:spacing w:line="240" w:lineRule="auto"/>
      </w:pPr>
      <w:r>
        <w:separator/>
      </w:r>
    </w:p>
  </w:endnote>
  <w:endnote w:type="continuationSeparator" w:id="1">
    <w:p w:rsidR="00651964" w:rsidRDefault="006519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964" w:rsidRDefault="00651964">
      <w:pPr>
        <w:spacing w:after="0"/>
      </w:pPr>
      <w:r>
        <w:separator/>
      </w:r>
    </w:p>
  </w:footnote>
  <w:footnote w:type="continuationSeparator" w:id="1">
    <w:p w:rsidR="00651964" w:rsidRDefault="0065196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08C"/>
    <w:multiLevelType w:val="multilevel"/>
    <w:tmpl w:val="019C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AC6D03"/>
    <w:multiLevelType w:val="multilevel"/>
    <w:tmpl w:val="04AC6D03"/>
    <w:lvl w:ilvl="0">
      <w:start w:val="1"/>
      <w:numFmt w:val="decimal"/>
      <w:lvlText w:val="%1."/>
      <w:lvlJc w:val="left"/>
      <w:pPr>
        <w:ind w:left="1440" w:hanging="720"/>
      </w:pPr>
      <w:rPr>
        <w:rFonts w:eastAsia="Tahoma" w:hint="default"/>
        <w:color w:val="0070C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61B6A8B"/>
    <w:multiLevelType w:val="multilevel"/>
    <w:tmpl w:val="061B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6F0827"/>
    <w:multiLevelType w:val="multilevel"/>
    <w:tmpl w:val="096F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101279"/>
    <w:multiLevelType w:val="multilevel"/>
    <w:tmpl w:val="0F101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43180A"/>
    <w:multiLevelType w:val="multilevel"/>
    <w:tmpl w:val="174318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1724E4C"/>
    <w:multiLevelType w:val="multilevel"/>
    <w:tmpl w:val="21724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583646"/>
    <w:multiLevelType w:val="multilevel"/>
    <w:tmpl w:val="22583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48833F6"/>
    <w:multiLevelType w:val="multilevel"/>
    <w:tmpl w:val="24883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D020A5"/>
    <w:multiLevelType w:val="multilevel"/>
    <w:tmpl w:val="27D020A5"/>
    <w:lvl w:ilvl="0">
      <w:start w:val="1"/>
      <w:numFmt w:val="lowerLetter"/>
      <w:lvlText w:val="%1)"/>
      <w:lvlJc w:val="left"/>
      <w:pPr>
        <w:ind w:left="1080" w:hanging="360"/>
      </w:pPr>
    </w:lvl>
    <w:lvl w:ilvl="1">
      <w:start w:val="1"/>
      <w:numFmt w:val="bullet"/>
      <w:lvlText w:val="●"/>
      <w:lvlJc w:val="left"/>
      <w:pPr>
        <w:ind w:left="1800" w:hanging="360"/>
      </w:pPr>
      <w:rPr>
        <w:rFonts w:ascii="Noto Sans" w:eastAsia="Noto Sans" w:hAnsi="Noto Sans" w:cs="Noto Sans"/>
      </w:r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F0F206B"/>
    <w:multiLevelType w:val="multilevel"/>
    <w:tmpl w:val="2F0F206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2F436C9B"/>
    <w:multiLevelType w:val="multilevel"/>
    <w:tmpl w:val="2F436C9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35E96045"/>
    <w:multiLevelType w:val="multilevel"/>
    <w:tmpl w:val="35E960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C97B5F"/>
    <w:multiLevelType w:val="multilevel"/>
    <w:tmpl w:val="36C97B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384B49EC"/>
    <w:multiLevelType w:val="multilevel"/>
    <w:tmpl w:val="384B4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84224EB"/>
    <w:multiLevelType w:val="multilevel"/>
    <w:tmpl w:val="58422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CB4F79"/>
    <w:multiLevelType w:val="multilevel"/>
    <w:tmpl w:val="5BCB4F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67613CC6"/>
    <w:multiLevelType w:val="multilevel"/>
    <w:tmpl w:val="67613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DE10F8B"/>
    <w:multiLevelType w:val="multilevel"/>
    <w:tmpl w:val="6DE10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F8D33BD"/>
    <w:multiLevelType w:val="multilevel"/>
    <w:tmpl w:val="6F8D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4AE0CBD"/>
    <w:multiLevelType w:val="multilevel"/>
    <w:tmpl w:val="74AE0CB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76B53CF8"/>
    <w:multiLevelType w:val="multilevel"/>
    <w:tmpl w:val="76B53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7193C79"/>
    <w:multiLevelType w:val="multilevel"/>
    <w:tmpl w:val="77193C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2"/>
  </w:num>
  <w:num w:numId="4">
    <w:abstractNumId w:val="0"/>
  </w:num>
  <w:num w:numId="5">
    <w:abstractNumId w:val="7"/>
  </w:num>
  <w:num w:numId="6">
    <w:abstractNumId w:val="18"/>
  </w:num>
  <w:num w:numId="7">
    <w:abstractNumId w:val="6"/>
  </w:num>
  <w:num w:numId="8">
    <w:abstractNumId w:val="14"/>
  </w:num>
  <w:num w:numId="9">
    <w:abstractNumId w:val="3"/>
  </w:num>
  <w:num w:numId="10">
    <w:abstractNumId w:val="19"/>
  </w:num>
  <w:num w:numId="11">
    <w:abstractNumId w:val="17"/>
  </w:num>
  <w:num w:numId="12">
    <w:abstractNumId w:val="8"/>
  </w:num>
  <w:num w:numId="13">
    <w:abstractNumId w:val="15"/>
  </w:num>
  <w:num w:numId="14">
    <w:abstractNumId w:val="16"/>
  </w:num>
  <w:num w:numId="15">
    <w:abstractNumId w:val="22"/>
  </w:num>
  <w:num w:numId="16">
    <w:abstractNumId w:val="10"/>
  </w:num>
  <w:num w:numId="17">
    <w:abstractNumId w:val="5"/>
  </w:num>
  <w:num w:numId="18">
    <w:abstractNumId w:val="20"/>
  </w:num>
  <w:num w:numId="19">
    <w:abstractNumId w:val="13"/>
  </w:num>
  <w:num w:numId="20">
    <w:abstractNumId w:val="11"/>
  </w:num>
  <w:num w:numId="21">
    <w:abstractNumId w:val="1"/>
  </w:num>
  <w:num w:numId="22">
    <w:abstractNumId w:val="9"/>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6D52"/>
    <w:rsid w:val="000A2FA5"/>
    <w:rsid w:val="002366DF"/>
    <w:rsid w:val="00306D52"/>
    <w:rsid w:val="0031417B"/>
    <w:rsid w:val="00376096"/>
    <w:rsid w:val="004648D3"/>
    <w:rsid w:val="00651964"/>
    <w:rsid w:val="00752CBF"/>
    <w:rsid w:val="00A34AC8"/>
    <w:rsid w:val="00C61894"/>
    <w:rsid w:val="00E85A58"/>
    <w:rsid w:val="00F410FC"/>
    <w:rsid w:val="00F619D1"/>
    <w:rsid w:val="0AE129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9D1"/>
    <w:pPr>
      <w:spacing w:after="160" w:line="259" w:lineRule="auto"/>
    </w:pPr>
    <w:rPr>
      <w:sz w:val="22"/>
      <w:szCs w:val="22"/>
      <w:lang w:eastAsia="en-US"/>
    </w:rPr>
  </w:style>
  <w:style w:type="paragraph" w:styleId="Ttulo1">
    <w:name w:val="heading 1"/>
    <w:basedOn w:val="Normal"/>
    <w:next w:val="Normal"/>
    <w:link w:val="Ttulo1Car"/>
    <w:uiPriority w:val="9"/>
    <w:qFormat/>
    <w:rsid w:val="0037609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lang w:eastAsia="es-ES"/>
    </w:rPr>
  </w:style>
  <w:style w:type="paragraph" w:styleId="Ttulo2">
    <w:name w:val="heading 2"/>
    <w:basedOn w:val="Normal"/>
    <w:next w:val="Normal"/>
    <w:link w:val="Ttulo2Car"/>
    <w:uiPriority w:val="9"/>
    <w:unhideWhenUsed/>
    <w:qFormat/>
    <w:rsid w:val="0037609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rsid w:val="00F619D1"/>
    <w:rPr>
      <w:rFonts w:ascii="Times New Roman" w:eastAsia="Times New Roman" w:hAnsi="Times New Roman" w:cs="Times New Roman"/>
    </w:rPr>
    <w:tblPr>
      <w:tblInd w:w="0" w:type="dxa"/>
      <w:tblCellMar>
        <w:top w:w="0" w:type="dxa"/>
        <w:left w:w="0" w:type="dxa"/>
        <w:bottom w:w="0" w:type="dxa"/>
        <w:right w:w="0" w:type="dxa"/>
      </w:tblCellMar>
    </w:tblPr>
  </w:style>
  <w:style w:type="paragraph" w:styleId="Prrafodelista">
    <w:name w:val="List Paragraph"/>
    <w:basedOn w:val="Normal"/>
    <w:uiPriority w:val="34"/>
    <w:qFormat/>
    <w:rsid w:val="00F619D1"/>
    <w:pPr>
      <w:ind w:left="720"/>
      <w:contextualSpacing/>
    </w:pPr>
  </w:style>
  <w:style w:type="character" w:customStyle="1" w:styleId="Ttulo1Car">
    <w:name w:val="Título 1 Car"/>
    <w:basedOn w:val="Fuentedeprrafopredeter"/>
    <w:link w:val="Ttulo1"/>
    <w:uiPriority w:val="9"/>
    <w:qFormat/>
    <w:rsid w:val="00376096"/>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rsid w:val="0037609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qFormat/>
    <w:rsid w:val="00376096"/>
    <w:pPr>
      <w:spacing w:before="100" w:beforeAutospacing="1" w:after="100" w:afterAutospacing="1"/>
    </w:pPr>
    <w:rPr>
      <w:rFonts w:eastAsiaTheme="minorEastAsia"/>
      <w:lang w:eastAsia="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2295</Words>
  <Characters>12627</Characters>
  <Application>Microsoft Office Word</Application>
  <DocSecurity>0</DocSecurity>
  <Lines>105</Lines>
  <Paragraphs>29</Paragraphs>
  <ScaleCrop>false</ScaleCrop>
  <Company/>
  <LinksUpToDate>false</LinksUpToDate>
  <CharactersWithSpaces>14893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dc:creator>
  <cp:lastModifiedBy>pc01</cp:lastModifiedBy>
  <cp:revision>7</cp:revision>
  <dcterms:created xsi:type="dcterms:W3CDTF">2023-10-15T18:16:00Z</dcterms:created>
  <dcterms:modified xsi:type="dcterms:W3CDTF">2025-10-31T10:05:00Z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3082-12.2.0.18607</vt:lpwstr>
  </property>
  <property fmtid="{D5CDD505-2E9C-101B-9397-08002B2CF9AE}" pid="3" name="ICV">
    <vt:lpwstr>F5A59B4A0AFB4638B1F63CBBFE7842C5_13</vt:lpwstr>
  </property>
</Properties>
</file>